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A1" w:rsidRDefault="00B676A1" w:rsidP="00B676A1">
      <w:pPr>
        <w:jc w:val="right"/>
        <w:rPr>
          <w:rFonts w:cs="Arial"/>
          <w:b/>
          <w:bCs/>
          <w:i/>
          <w:color w:val="C0504D"/>
          <w:spacing w:val="-3"/>
          <w:lang w:val="es-ES_tradnl"/>
        </w:rPr>
      </w:pPr>
    </w:p>
    <w:p w:rsidR="0074072E" w:rsidRPr="0074072E" w:rsidRDefault="0074072E" w:rsidP="00B676A1">
      <w:pPr>
        <w:jc w:val="center"/>
        <w:rPr>
          <w:rFonts w:cs="Arial"/>
          <w:b/>
          <w:bCs/>
        </w:rPr>
      </w:pPr>
      <w:r w:rsidRPr="0074072E">
        <w:rPr>
          <w:rFonts w:cs="Arial"/>
          <w:b/>
          <w:bCs/>
        </w:rPr>
        <w:t>ANEJO I:</w:t>
      </w:r>
    </w:p>
    <w:p w:rsidR="0074072E" w:rsidRPr="0074072E" w:rsidRDefault="00A73EE2" w:rsidP="0074072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SOBRE </w:t>
      </w:r>
      <w:r w:rsidR="00D520CA">
        <w:rPr>
          <w:rFonts w:cs="Arial"/>
          <w:b/>
          <w:bCs/>
        </w:rPr>
        <w:t>ÚNICO</w:t>
      </w:r>
      <w:r w:rsidR="0074072E" w:rsidRPr="0074072E">
        <w:rPr>
          <w:rFonts w:cs="Arial"/>
          <w:b/>
          <w:bCs/>
        </w:rPr>
        <w:t xml:space="preserve">: CRITERIOS EVALUABLES DE FORMA AUTOMÁTICA MEDIANTE FÓRMULAS </w:t>
      </w:r>
    </w:p>
    <w:p w:rsidR="007551CC" w:rsidRDefault="007551CC" w:rsidP="000C0CAF">
      <w:pPr>
        <w:autoSpaceDE w:val="0"/>
        <w:autoSpaceDN w:val="0"/>
        <w:adjustRightInd w:val="0"/>
        <w:spacing w:before="0" w:after="0"/>
        <w:rPr>
          <w:rFonts w:cs="Arial"/>
          <w:iCs/>
          <w:color w:val="000000"/>
          <w:szCs w:val="20"/>
        </w:rPr>
      </w:pPr>
    </w:p>
    <w:p w:rsidR="0074072E" w:rsidRPr="0074072E" w:rsidRDefault="0074072E" w:rsidP="0074072E">
      <w:pPr>
        <w:autoSpaceDE w:val="0"/>
        <w:autoSpaceDN w:val="0"/>
        <w:adjustRightInd w:val="0"/>
        <w:rPr>
          <w:rFonts w:eastAsia="Calibri" w:cs="Arial"/>
          <w:bCs/>
          <w:color w:val="000000"/>
          <w:lang w:eastAsia="en-US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4072E">
        <w:rPr>
          <w:rFonts w:cs="Arial"/>
          <w:iCs/>
          <w:color w:val="000000"/>
          <w:szCs w:val="20"/>
        </w:rPr>
        <w:t>º …</w:t>
      </w:r>
      <w:proofErr w:type="gramEnd"/>
      <w:r w:rsidRPr="0074072E">
        <w:rPr>
          <w:rFonts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F30ED9" w:rsidRPr="00F30ED9">
        <w:rPr>
          <w:b/>
          <w:iCs/>
          <w:szCs w:val="20"/>
        </w:rPr>
        <w:t>SUMIN</w:t>
      </w:r>
      <w:bookmarkStart w:id="0" w:name="_GoBack"/>
      <w:bookmarkEnd w:id="0"/>
      <w:r w:rsidR="00F30ED9" w:rsidRPr="00F30ED9">
        <w:rPr>
          <w:b/>
          <w:iCs/>
          <w:szCs w:val="20"/>
        </w:rPr>
        <w:t>ISTRO DE MATERIALES PARA ILUMINACIÓN, AUDIOVISUALES Y DETECCIÓN PARA OBRAS DE ADAPTACIÓN DE EDIFICIO PARA CEIP EN MIGUELTURRA (CIUDAD REAL)</w:t>
      </w:r>
      <w:r w:rsidR="00CD69BE">
        <w:rPr>
          <w:b/>
          <w:iCs/>
          <w:szCs w:val="20"/>
        </w:rPr>
        <w:t>.</w:t>
      </w:r>
      <w:r w:rsidR="00CD69BE" w:rsidRPr="00CD69BE">
        <w:rPr>
          <w:b/>
          <w:iCs/>
          <w:szCs w:val="20"/>
        </w:rPr>
        <w:t xml:space="preserve"> </w:t>
      </w:r>
      <w:proofErr w:type="spellStart"/>
      <w:r w:rsidRPr="00B676A1">
        <w:rPr>
          <w:rFonts w:cs="Arial"/>
          <w:b/>
          <w:iCs/>
          <w:color w:val="000000"/>
          <w:szCs w:val="20"/>
        </w:rPr>
        <w:t>Ref</w:t>
      </w:r>
      <w:proofErr w:type="spellEnd"/>
      <w:r w:rsidRPr="00B676A1">
        <w:rPr>
          <w:rFonts w:cs="Arial"/>
          <w:b/>
          <w:iCs/>
          <w:color w:val="000000"/>
          <w:szCs w:val="20"/>
        </w:rPr>
        <w:t xml:space="preserve">: </w:t>
      </w:r>
      <w:r w:rsidR="00CD69BE" w:rsidRPr="0093214F">
        <w:rPr>
          <w:rFonts w:cs="Arial"/>
          <w:b/>
          <w:iCs/>
          <w:color w:val="000000"/>
          <w:szCs w:val="20"/>
        </w:rPr>
        <w:t>TSA0065</w:t>
      </w:r>
      <w:r w:rsidR="0093214F" w:rsidRPr="0093214F">
        <w:rPr>
          <w:rFonts w:cs="Arial"/>
          <w:b/>
          <w:iCs/>
          <w:color w:val="000000"/>
          <w:szCs w:val="20"/>
        </w:rPr>
        <w:t>74</w:t>
      </w:r>
      <w:r w:rsidR="00F30ED9">
        <w:rPr>
          <w:rFonts w:cs="Arial"/>
          <w:b/>
          <w:iCs/>
          <w:color w:val="000000"/>
          <w:szCs w:val="20"/>
        </w:rPr>
        <w:t>7</w:t>
      </w:r>
      <w:r w:rsidR="00B676A1" w:rsidRPr="0093214F">
        <w:rPr>
          <w:rFonts w:cs="Arial"/>
          <w:b/>
          <w:iCs/>
          <w:color w:val="000000"/>
          <w:szCs w:val="20"/>
        </w:rPr>
        <w:t xml:space="preserve"> </w:t>
      </w:r>
      <w:r w:rsidRPr="0093214F">
        <w:rPr>
          <w:rFonts w:eastAsia="Calibri" w:cs="Arial"/>
          <w:bCs/>
          <w:color w:val="000000"/>
          <w:lang w:eastAsia="en-US"/>
        </w:rPr>
        <w:t>se</w:t>
      </w:r>
      <w:r w:rsidRPr="0074072E">
        <w:rPr>
          <w:rFonts w:eastAsia="Calibri" w:cs="Arial"/>
          <w:bCs/>
          <w:color w:val="000000"/>
          <w:lang w:eastAsia="en-US"/>
        </w:rPr>
        <w:t xml:space="preserve"> compromete en nombre propio o de la empresa a que representa, a prestar el objeto del presente pliego por un importe total de ………………………………………………………………. EUROS (………………. €) IVA incluido de acuerdo con el siguiente cuadro de unidades y precios:</w:t>
      </w:r>
    </w:p>
    <w:p w:rsidR="0074072E" w:rsidRPr="000C0CAF" w:rsidRDefault="0074072E" w:rsidP="000C0CAF">
      <w:pPr>
        <w:suppressAutoHyphens/>
        <w:spacing w:after="0"/>
        <w:ind w:left="454"/>
        <w:jc w:val="center"/>
        <w:rPr>
          <w:rFonts w:cs="Arial"/>
          <w:bCs/>
          <w:i/>
          <w:spacing w:val="-2"/>
          <w:szCs w:val="20"/>
          <w:lang w:val="es-ES_tradnl" w:eastAsia="x-none"/>
        </w:rPr>
      </w:pPr>
      <w:r w:rsidRPr="000C0CAF">
        <w:rPr>
          <w:rFonts w:cs="Arial"/>
          <w:bCs/>
          <w:i/>
          <w:spacing w:val="-2"/>
          <w:szCs w:val="20"/>
          <w:lang w:val="es-ES_tradnl" w:eastAsia="x-none"/>
        </w:rPr>
        <w:t>CUADRO DE UNIDADES Y PRECIOS</w:t>
      </w:r>
      <w:r w:rsidR="007551CC" w:rsidRPr="000C0CAF">
        <w:rPr>
          <w:rFonts w:cs="Arial"/>
          <w:bCs/>
          <w:i/>
          <w:spacing w:val="-2"/>
          <w:szCs w:val="20"/>
          <w:lang w:val="es-ES_tradnl" w:eastAsia="x-none"/>
        </w:rPr>
        <w:t xml:space="preserve"> </w:t>
      </w:r>
      <w:r w:rsidR="00D520CA" w:rsidRPr="000C0CAF">
        <w:rPr>
          <w:rFonts w:cs="Arial"/>
          <w:bCs/>
          <w:i/>
          <w:spacing w:val="-2"/>
          <w:szCs w:val="20"/>
          <w:lang w:val="es-ES_tradnl" w:eastAsia="x-none"/>
        </w:rPr>
        <w:t>LOTE 1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34"/>
        <w:gridCol w:w="5685"/>
        <w:gridCol w:w="1167"/>
        <w:gridCol w:w="1276"/>
      </w:tblGrid>
      <w:tr w:rsidR="00AE4CC0" w:rsidRPr="000C0CAF" w:rsidTr="000C0CAF">
        <w:trPr>
          <w:trHeight w:val="905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E4CC0" w:rsidRPr="000C0CAF" w:rsidRDefault="00AE4CC0" w:rsidP="000C0CAF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C0CAF">
              <w:rPr>
                <w:b/>
                <w:i/>
                <w:iCs/>
                <w:color w:val="000000"/>
                <w:szCs w:val="20"/>
              </w:rPr>
              <w:t xml:space="preserve">Nº </w:t>
            </w:r>
            <w:proofErr w:type="spellStart"/>
            <w:r w:rsidRPr="000C0CAF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E4CC0" w:rsidRPr="000C0CAF" w:rsidRDefault="00AE4CC0" w:rsidP="000C0CAF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proofErr w:type="spellStart"/>
            <w:r w:rsidRPr="000C0CAF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4CC0" w:rsidRPr="000C0CAF" w:rsidRDefault="00AE4CC0" w:rsidP="000C0CAF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C0CAF">
              <w:rPr>
                <w:b/>
                <w:i/>
                <w:iCs/>
                <w:color w:val="000000"/>
                <w:szCs w:val="20"/>
              </w:rPr>
              <w:t>Descripción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E4CC0" w:rsidRPr="000C0CAF" w:rsidRDefault="00AE4CC0" w:rsidP="000C0CAF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C0CAF">
              <w:rPr>
                <w:b/>
                <w:i/>
                <w:iCs/>
                <w:color w:val="000000"/>
                <w:szCs w:val="20"/>
              </w:rPr>
              <w:t>Precio unitario (sin IVA)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E4CC0" w:rsidRPr="000C0CAF" w:rsidRDefault="00AE4CC0" w:rsidP="000C0CAF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C0CAF">
              <w:rPr>
                <w:b/>
                <w:i/>
                <w:iCs/>
                <w:color w:val="000000"/>
                <w:szCs w:val="20"/>
              </w:rPr>
              <w:t>IMPORTE TOTAL (sin IVA)</w:t>
            </w:r>
          </w:p>
        </w:tc>
      </w:tr>
      <w:tr w:rsidR="00AE4CC0" w:rsidRPr="000C0CAF" w:rsidTr="00A30C55">
        <w:trPr>
          <w:trHeight w:val="53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/>
                <w:color w:val="1F497D"/>
                <w:szCs w:val="20"/>
              </w:rPr>
            </w:pPr>
            <w:r w:rsidRPr="000C0CAF">
              <w:rPr>
                <w:b/>
                <w:color w:val="1F497D"/>
                <w:szCs w:val="20"/>
              </w:rPr>
              <w:t>LOTE 1. SUMINISTRO DE MATERIAL PARA ILUMINACIÓN</w:t>
            </w: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123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  <w:lang w:val="en-US"/>
              </w:rPr>
              <w:t xml:space="preserve">LUM.EMPOT.LED TIPO LEDINAIRE /42 W Philips. </w:t>
            </w:r>
            <w:r w:rsidRPr="000C0CAF">
              <w:rPr>
                <w:color w:val="000000"/>
                <w:szCs w:val="20"/>
              </w:rPr>
              <w:t xml:space="preserve">Suministro luminaria </w:t>
            </w:r>
            <w:proofErr w:type="spellStart"/>
            <w:r w:rsidRPr="000C0CAF">
              <w:rPr>
                <w:color w:val="000000"/>
                <w:szCs w:val="20"/>
              </w:rPr>
              <w:t>empotrable</w:t>
            </w:r>
            <w:proofErr w:type="spellEnd"/>
            <w:r w:rsidRPr="000C0CAF">
              <w:rPr>
                <w:color w:val="000000"/>
                <w:szCs w:val="20"/>
              </w:rPr>
              <w:t xml:space="preserve"> con tecnología LED </w:t>
            </w:r>
            <w:proofErr w:type="spellStart"/>
            <w:r w:rsidRPr="000C0CAF">
              <w:rPr>
                <w:color w:val="000000"/>
                <w:szCs w:val="20"/>
              </w:rPr>
              <w:t>mod</w:t>
            </w:r>
            <w:proofErr w:type="spellEnd"/>
            <w:r w:rsidRPr="000C0CAF">
              <w:rPr>
                <w:color w:val="000000"/>
                <w:szCs w:val="20"/>
              </w:rPr>
              <w:t xml:space="preserve"> RC 125B 34S/840 PSD W60L60 de Philips  o similar Instala. i/P.P. de accesorios para adosar. Incluyendo materiales para conexión a equipos de control de alumbrado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cableado.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 de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A30C55">
        <w:trPr>
          <w:trHeight w:val="17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198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BLQ.AUT.EMERG.ZEMPER 160 Lm Suministro de aparato autónomo de alumbrado de emergencia y señalización permanente modelo FMD 6161 marca ZEMPER con lámpara de emergencia fluorescente; lámpara de señalización incandescente, grado de protección IP 22, flujo luminoso 160 lm, superficie que cubre 32 m2. Funcionamiento no permanente, autonomía superior a 1 hora, batería Ni-Cd alta temperatura, según Norma UNE 20-392-93 y UNE EN 60598.2.22, REBT y </w:t>
            </w:r>
            <w:r w:rsidRPr="000C0CAF">
              <w:rPr>
                <w:color w:val="000000"/>
                <w:szCs w:val="20"/>
              </w:rPr>
              <w:lastRenderedPageBreak/>
              <w:t xml:space="preserve">NBE-CPI/96.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EMERGENCIA ESTANCA DIANA FDM 6311 C+APE-065. Suministro aparato autónomo de alumbrado de emergencia y señalización permanente estanco modelo FDM 6311/C con kit envolvente estanco IP65 con lámpara de emergencia fluorescente; lámpara de señalización incandescente, flujo luminoso 305 lm, superficie que cubre 61 m2. Funcionamiento no permanente, autonomía superior a 1 hora, batería Ni-Cd alta temperatura, según Norma UNE 20-392-93 y UNE EN 60598.2.22, REBT y NBE-CPI/96. 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EMERGENCIA DIANA FDM 6311 305Lm Suministro aparato autónomo de alumbrado de emergencia y señalización permanente modelo FMD 6311 marca ZEMPER con lámpara de emergencia fluorescente; lámpara de señalización incandescente, grado de protección IP 22, flujo luminoso 305 lm, superficie que cubre 61 m2. Funcionamiento no permanente, autonomía superior a 1 hora, batería Ni-Cd alta temperatura, según Norma UNE 20-392-93 y UNE EN 60598.2.22, REBT y NBE-CPI/96.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LUMIN LED 32 W AULAS Suministro de luminaria Led en material plástico de 32 W para adosar en pared. Alumbrado pizarra.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LUMINARIA TROLL 0322R/33 CON CRISTAL Suministro de </w:t>
            </w:r>
            <w:proofErr w:type="spellStart"/>
            <w:r w:rsidRPr="000C0CAF">
              <w:rPr>
                <w:color w:val="000000"/>
                <w:szCs w:val="20"/>
              </w:rPr>
              <w:t>downlight</w:t>
            </w:r>
            <w:proofErr w:type="spellEnd"/>
            <w:r w:rsidRPr="000C0CAF">
              <w:rPr>
                <w:color w:val="000000"/>
                <w:szCs w:val="20"/>
              </w:rPr>
              <w:t xml:space="preserve"> modelo Troll referencia 0322r/33 con cristal de 2x18W A.F para empotrar con dos equipos fluorescentes compactos de 18 W., reflector de policarbonato vaporizado de aluminio, con lámpara color 84, equipo de arranque y condensador.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lastRenderedPageBreak/>
              <w:t>66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DETECT.MOVIMIENTO EMPOTRABLE 360º Suministro detector de movimiento realizado con tubo PVC corrugado M 20/gp5 y conductor rígido de 1,5 mm2 de Cu., y aislamiento VV 750 V., incluyendo caja de registro, caja de mecanismo universal con tornillos, detector de movimiento serie </w:t>
            </w:r>
            <w:proofErr w:type="spellStart"/>
            <w:r w:rsidRPr="000C0CAF">
              <w:rPr>
                <w:color w:val="000000"/>
                <w:szCs w:val="20"/>
              </w:rPr>
              <w:t>Unica</w:t>
            </w:r>
            <w:proofErr w:type="spellEnd"/>
            <w:r w:rsidRPr="000C0CAF">
              <w:rPr>
                <w:color w:val="000000"/>
                <w:szCs w:val="20"/>
              </w:rPr>
              <w:t xml:space="preserve"> Top cromo satinado.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5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BALIZAS TEATRO LPV 1084 Suministro de baliza modelo LPV 1084 de </w:t>
            </w:r>
            <w:proofErr w:type="spellStart"/>
            <w:r w:rsidRPr="000C0CAF">
              <w:rPr>
                <w:color w:val="000000"/>
                <w:szCs w:val="20"/>
              </w:rPr>
              <w:t>Zamper</w:t>
            </w:r>
            <w:proofErr w:type="spellEnd"/>
            <w:r w:rsidRPr="000C0CAF">
              <w:rPr>
                <w:color w:val="000000"/>
                <w:szCs w:val="20"/>
              </w:rPr>
              <w:t>. Para reposición de unidades existente. Incluyendo  accesorios de anclaje.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>LUMIN.ESTANCA LED 32 W COCINA Suministro luminaria estanca Led en material plástico de 32 W. con protección IP66 clase I, cuerpo de poliéster reforzado con fibra de vidrio, difusor transparente prismático de policarbonato de 2 mm de espesor. Fijación del difusor a la carcasa sin clips,  con puntos de fijación integrados. Incluyendo  accesorios de anclaje y p.p. de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APARATO TROLL REF. 0127/33  Suministro de foco modelo 0127/33 marca Troll, para empotrar con lámpara R63 de 60 W./220 V., con protección IP20 clase I, cuerpo metálico lacado, lámpara reflectora.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A30C55">
        <w:trPr>
          <w:trHeight w:val="308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spacing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>APLIQUE TROLL 0583/33 CON LAMPARA QT 32/250W Suministro de luminaria Troll tira continua de empotrar modelo 780 de 2x58W A.F con difusor opal, tubos fluorescente color 54 con equipo completo. Incluyendo accesorios de anclaje y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lastRenderedPageBreak/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COLUM. 3m+L.ESFE. 350 VSAP 70 W. Suministro columna troncocónica galvanizada y pintada de 3 m. de altura, con luminaria marca PHILIPHS modelo CPS200, tapa superior en poliéster </w:t>
            </w:r>
            <w:proofErr w:type="spellStart"/>
            <w:r w:rsidRPr="000C0CAF">
              <w:rPr>
                <w:color w:val="000000"/>
                <w:szCs w:val="20"/>
              </w:rPr>
              <w:t>RAl</w:t>
            </w:r>
            <w:proofErr w:type="spellEnd"/>
            <w:r w:rsidRPr="000C0CAF">
              <w:rPr>
                <w:color w:val="000000"/>
                <w:szCs w:val="20"/>
              </w:rPr>
              <w:t xml:space="preserve"> 7035 con soporte en inyección aluminio, difusor policarbonato acanalado y reflector superior de chapa lacada en blanco, con lámpara de vapor de sodio alta presión de 150 W. y equipo de arranque con instalación eléctrica interior, puesta a tierra de columna completa </w:t>
            </w:r>
            <w:proofErr w:type="spellStart"/>
            <w:r w:rsidRPr="000C0CAF">
              <w:rPr>
                <w:color w:val="000000"/>
                <w:szCs w:val="20"/>
              </w:rPr>
              <w:t>portafusibles</w:t>
            </w:r>
            <w:proofErr w:type="spellEnd"/>
            <w:r w:rsidRPr="000C0CAF">
              <w:rPr>
                <w:color w:val="000000"/>
                <w:szCs w:val="20"/>
              </w:rPr>
              <w:t>. Incluyendo accesorios de anclaje sobre cimentación.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44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LUMINARIA LED MICROPRISMAS / E. LINEAL 2400 lm Suministro de luminaria LED de superficie para iluminación lineal de pizarras, con carcasa de aluminio anodizado natural con tapas finales de fundición de aluminio, con óptica de </w:t>
            </w:r>
            <w:proofErr w:type="spellStart"/>
            <w:r w:rsidRPr="000C0CAF">
              <w:rPr>
                <w:color w:val="000000"/>
                <w:szCs w:val="20"/>
              </w:rPr>
              <w:t>microprismas</w:t>
            </w:r>
            <w:proofErr w:type="spellEnd"/>
            <w:r w:rsidRPr="000C0CAF">
              <w:rPr>
                <w:color w:val="000000"/>
                <w:szCs w:val="20"/>
              </w:rPr>
              <w:t xml:space="preserve"> o de efecto lineal; grado de protección IP20 / Clase I y aislamiento clase F, según UNE-EN60598; equipado con módulo de LED de 2400 lm, con un consumo de 25W y temperatura de color blanco neutro (4000K), driver integrado regulable; para alumbrado general, oficinas, y comercial. Distribución de luz óptima y control del deslumbramiento de acuerdo con la normativa EN12464. Con marcado CE según Reglamento (UE) 305/201. Incluyendo accesorios de anclaje y p.p. de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A30C55">
        <w:trPr>
          <w:trHeight w:val="2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APLIQUE TROLL 0583/33 CON LAMPARA QT 32/250W Aro Troll modelo 0583/33 para empotrar con lámpara QT 32 de 250W E27 con reflector plateado.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de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center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lastRenderedPageBreak/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APLIQUE DE PARED ODEL-LUX OD6916. Aplique de pared modelo ODEL-LUX OD6516 para adosar a pared de luz reflejada con  lámpara de 24W modelo TC-L con equipo completo en A.F.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de conexionado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300"/>
        </w:trPr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CC0" w:rsidRPr="000C0CAF" w:rsidRDefault="00AE4CC0" w:rsidP="007C5418">
            <w:pPr>
              <w:jc w:val="left"/>
              <w:rPr>
                <w:b/>
                <w:szCs w:val="20"/>
              </w:rPr>
            </w:pPr>
            <w:r w:rsidRPr="000C0CAF">
              <w:rPr>
                <w:b/>
                <w:szCs w:val="20"/>
              </w:rPr>
              <w:t xml:space="preserve">IMPORTE TOTAL OFERTADO SIN IVA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CC0" w:rsidRPr="000C0CAF" w:rsidRDefault="00AE4CC0" w:rsidP="00254982">
            <w:pPr>
              <w:jc w:val="right"/>
              <w:rPr>
                <w:b/>
                <w:color w:val="000000"/>
                <w:szCs w:val="20"/>
              </w:rPr>
            </w:pPr>
          </w:p>
        </w:tc>
      </w:tr>
    </w:tbl>
    <w:p w:rsidR="00D520CA" w:rsidRDefault="00D520CA" w:rsidP="0074072E">
      <w:pPr>
        <w:suppressAutoHyphens/>
        <w:ind w:left="454"/>
        <w:jc w:val="center"/>
        <w:rPr>
          <w:rFonts w:cs="Arial"/>
          <w:b/>
          <w:bCs/>
          <w:spacing w:val="-2"/>
          <w:szCs w:val="20"/>
          <w:lang w:val="es-ES_tradnl" w:eastAsia="x-none"/>
        </w:rPr>
      </w:pPr>
    </w:p>
    <w:p w:rsidR="0074072E" w:rsidRPr="0074072E" w:rsidRDefault="0074072E" w:rsidP="0074072E">
      <w:pPr>
        <w:widowControl w:val="0"/>
        <w:suppressAutoHyphens/>
        <w:autoSpaceDE w:val="0"/>
        <w:autoSpaceDN w:val="0"/>
        <w:rPr>
          <w:color w:val="FF0000"/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ofertados</w:t>
      </w:r>
      <w:r w:rsidRPr="0074072E">
        <w:rPr>
          <w:color w:val="FF0000"/>
          <w:szCs w:val="20"/>
        </w:rPr>
        <w:t>.</w:t>
      </w:r>
    </w:p>
    <w:p w:rsidR="0074072E" w:rsidRDefault="0074072E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:rsidR="000C0CAF" w:rsidRDefault="000C0CAF" w:rsidP="0074072E">
      <w:pPr>
        <w:widowControl w:val="0"/>
        <w:suppressAutoHyphens/>
        <w:autoSpaceDE w:val="0"/>
        <w:autoSpaceDN w:val="0"/>
        <w:rPr>
          <w:rFonts w:cs="Arial"/>
          <w:b/>
          <w:bCs/>
          <w:highlight w:val="yellow"/>
        </w:rPr>
      </w:pPr>
    </w:p>
    <w:p w:rsidR="00066D65" w:rsidRDefault="00066D65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0C0CAF">
        <w:rPr>
          <w:rFonts w:cs="Arial"/>
          <w:b/>
          <w:bCs/>
        </w:rPr>
        <w:t>CONSUMO DE LAS LUMINARIAS DE ILUMINACIÓN CON TECNOLOGÍA LED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185"/>
      </w:tblGrid>
      <w:tr w:rsidR="008D6E07" w:rsidRPr="007B300B" w:rsidTr="008D6E07">
        <w:trPr>
          <w:cantSplit/>
          <w:trHeight w:val="418"/>
        </w:trPr>
        <w:tc>
          <w:tcPr>
            <w:tcW w:w="4820" w:type="dxa"/>
            <w:shd w:val="clear" w:color="auto" w:fill="auto"/>
            <w:vAlign w:val="center"/>
          </w:tcPr>
          <w:p w:rsidR="008D6E07" w:rsidRPr="008D6E07" w:rsidRDefault="008D6E07" w:rsidP="00254982">
            <w:pPr>
              <w:suppressAutoHyphens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  <w:r w:rsidRPr="008D6E07"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>Tipo de material</w:t>
            </w:r>
          </w:p>
        </w:tc>
        <w:tc>
          <w:tcPr>
            <w:tcW w:w="3185" w:type="dxa"/>
            <w:shd w:val="clear" w:color="auto" w:fill="auto"/>
          </w:tcPr>
          <w:p w:rsidR="008D6E07" w:rsidRPr="008D6E07" w:rsidRDefault="008D6E07" w:rsidP="00B42999">
            <w:pPr>
              <w:jc w:val="center"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  <w:r w:rsidRPr="008D6E07"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>Valor consumo energético</w:t>
            </w:r>
            <w:r w:rsidR="000C0CAF"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 xml:space="preserve"> (W) según ficha técnica</w:t>
            </w:r>
          </w:p>
        </w:tc>
      </w:tr>
      <w:tr w:rsidR="008D6E07" w:rsidRPr="007B300B" w:rsidTr="008D6E07">
        <w:trPr>
          <w:cantSplit/>
          <w:trHeight w:val="418"/>
        </w:trPr>
        <w:tc>
          <w:tcPr>
            <w:tcW w:w="4820" w:type="dxa"/>
            <w:shd w:val="clear" w:color="auto" w:fill="auto"/>
            <w:vAlign w:val="center"/>
          </w:tcPr>
          <w:p w:rsidR="008D6E07" w:rsidRPr="00B42999" w:rsidRDefault="008D6E07" w:rsidP="00254982">
            <w:pPr>
              <w:suppressAutoHyphens/>
              <w:rPr>
                <w:rFonts w:cs="Arial"/>
                <w:spacing w:val="-3"/>
                <w:szCs w:val="20"/>
              </w:rPr>
            </w:pPr>
            <w:r w:rsidRPr="00B42999">
              <w:rPr>
                <w:rFonts w:cs="Arial"/>
                <w:bCs/>
              </w:rPr>
              <w:t xml:space="preserve">Luminaria </w:t>
            </w:r>
            <w:proofErr w:type="spellStart"/>
            <w:r w:rsidRPr="00B42999">
              <w:rPr>
                <w:rFonts w:cs="Arial"/>
                <w:bCs/>
              </w:rPr>
              <w:t>empotrable</w:t>
            </w:r>
            <w:proofErr w:type="spellEnd"/>
            <w:r w:rsidRPr="00B42999">
              <w:rPr>
                <w:rFonts w:cs="Arial"/>
                <w:bCs/>
              </w:rPr>
              <w:t xml:space="preserve"> LED tipo LEDINAIRE</w:t>
            </w:r>
          </w:p>
        </w:tc>
        <w:tc>
          <w:tcPr>
            <w:tcW w:w="3185" w:type="dxa"/>
            <w:shd w:val="clear" w:color="auto" w:fill="auto"/>
          </w:tcPr>
          <w:p w:rsidR="008D6E07" w:rsidRPr="007B300B" w:rsidRDefault="008D6E07" w:rsidP="00254982">
            <w:pPr>
              <w:jc w:val="right"/>
              <w:rPr>
                <w:szCs w:val="20"/>
              </w:rPr>
            </w:pPr>
          </w:p>
        </w:tc>
      </w:tr>
      <w:tr w:rsidR="00066D65" w:rsidRPr="007B300B" w:rsidTr="008D6E07">
        <w:trPr>
          <w:cantSplit/>
          <w:trHeight w:val="418"/>
        </w:trPr>
        <w:tc>
          <w:tcPr>
            <w:tcW w:w="4820" w:type="dxa"/>
            <w:shd w:val="clear" w:color="auto" w:fill="auto"/>
            <w:vAlign w:val="center"/>
          </w:tcPr>
          <w:p w:rsidR="008D6E07" w:rsidRPr="00B42999" w:rsidRDefault="008D6E07" w:rsidP="00254982">
            <w:pPr>
              <w:suppressAutoHyphens/>
              <w:rPr>
                <w:rFonts w:cs="Arial"/>
                <w:spacing w:val="-3"/>
                <w:szCs w:val="20"/>
              </w:rPr>
            </w:pPr>
            <w:r w:rsidRPr="00B42999">
              <w:rPr>
                <w:rFonts w:cs="Arial"/>
                <w:spacing w:val="-3"/>
                <w:szCs w:val="20"/>
              </w:rPr>
              <w:t xml:space="preserve">Luminaria LED </w:t>
            </w:r>
            <w:proofErr w:type="spellStart"/>
            <w:r w:rsidRPr="00B42999">
              <w:rPr>
                <w:rFonts w:cs="Arial"/>
                <w:spacing w:val="-3"/>
                <w:szCs w:val="20"/>
              </w:rPr>
              <w:t>microprismas</w:t>
            </w:r>
            <w:proofErr w:type="spellEnd"/>
            <w:r w:rsidRPr="00B42999">
              <w:rPr>
                <w:rFonts w:cs="Arial"/>
                <w:spacing w:val="-3"/>
                <w:szCs w:val="20"/>
              </w:rPr>
              <w:t xml:space="preserve"> para iluminación de pizarra</w:t>
            </w:r>
          </w:p>
        </w:tc>
        <w:tc>
          <w:tcPr>
            <w:tcW w:w="3185" w:type="dxa"/>
            <w:shd w:val="clear" w:color="auto" w:fill="auto"/>
          </w:tcPr>
          <w:p w:rsidR="00066D65" w:rsidRPr="007B300B" w:rsidRDefault="00066D65" w:rsidP="00254982">
            <w:pPr>
              <w:jc w:val="right"/>
              <w:rPr>
                <w:szCs w:val="20"/>
              </w:rPr>
            </w:pPr>
          </w:p>
        </w:tc>
      </w:tr>
    </w:tbl>
    <w:p w:rsidR="008D6E07" w:rsidRDefault="008D6E07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066D65" w:rsidRPr="00066D65" w:rsidRDefault="00066D65" w:rsidP="000C0CAF">
      <w:pPr>
        <w:widowControl w:val="0"/>
        <w:suppressAutoHyphens/>
        <w:autoSpaceDE w:val="0"/>
        <w:autoSpaceDN w:val="0"/>
        <w:spacing w:after="0"/>
        <w:jc w:val="right"/>
        <w:rPr>
          <w:rFonts w:cs="Arial"/>
          <w:bCs/>
          <w:iCs/>
          <w:spacing w:val="-3"/>
          <w:lang w:val="es-ES_tradnl"/>
        </w:rPr>
      </w:pPr>
      <w:r w:rsidRPr="00066D65">
        <w:rPr>
          <w:rFonts w:cs="Arial"/>
          <w:bCs/>
          <w:iCs/>
          <w:spacing w:val="-3"/>
          <w:lang w:val="es-ES_tradnl"/>
        </w:rPr>
        <w:t>(Sello, fecha y firma del ofertante)</w:t>
      </w:r>
    </w:p>
    <w:p w:rsidR="00066D65" w:rsidRDefault="00066D65" w:rsidP="000C0CAF">
      <w:pPr>
        <w:widowControl w:val="0"/>
        <w:suppressAutoHyphens/>
        <w:autoSpaceDE w:val="0"/>
        <w:autoSpaceDN w:val="0"/>
        <w:spacing w:before="0"/>
        <w:jc w:val="right"/>
        <w:rPr>
          <w:rFonts w:cs="Arial"/>
          <w:bCs/>
          <w:iCs/>
          <w:spacing w:val="-3"/>
          <w:lang w:val="es-ES_tradnl"/>
        </w:rPr>
      </w:pPr>
      <w:r w:rsidRPr="00066D65">
        <w:rPr>
          <w:rFonts w:cs="Arial"/>
          <w:bCs/>
          <w:iCs/>
          <w:spacing w:val="-3"/>
          <w:lang w:val="es-ES_tradnl"/>
        </w:rPr>
        <w:t>(Se deben firmar todas las hojas de la oferta)</w:t>
      </w:r>
    </w:p>
    <w:p w:rsidR="00066D65" w:rsidRDefault="00066D65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A30C55" w:rsidRDefault="00A30C55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A30C55" w:rsidRDefault="00A30C55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A30C55" w:rsidRDefault="00A30C55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A30C55" w:rsidRDefault="00A30C55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A30C55" w:rsidRPr="0074072E" w:rsidRDefault="00A30C55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7736B8" w:rsidRPr="000C0CAF" w:rsidRDefault="007736B8" w:rsidP="007736B8">
      <w:pPr>
        <w:suppressAutoHyphens/>
        <w:ind w:left="454"/>
        <w:jc w:val="center"/>
        <w:rPr>
          <w:rFonts w:cs="Arial"/>
          <w:b/>
          <w:bCs/>
          <w:i/>
          <w:spacing w:val="-2"/>
          <w:szCs w:val="20"/>
          <w:lang w:val="es-ES_tradnl" w:eastAsia="x-none"/>
        </w:rPr>
      </w:pPr>
      <w:r w:rsidRPr="000C0CAF">
        <w:rPr>
          <w:rFonts w:cs="Arial"/>
          <w:b/>
          <w:bCs/>
          <w:i/>
          <w:spacing w:val="-2"/>
          <w:szCs w:val="20"/>
          <w:lang w:val="es-ES_tradnl" w:eastAsia="x-none"/>
        </w:rPr>
        <w:t>CUADRO DE UNIDADES Y PRECIOS LOTE 2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8"/>
        <w:gridCol w:w="5763"/>
        <w:gridCol w:w="1276"/>
        <w:gridCol w:w="1134"/>
      </w:tblGrid>
      <w:tr w:rsidR="00AE4CC0" w:rsidRPr="000C0CAF" w:rsidTr="000C0CAF">
        <w:trPr>
          <w:trHeight w:val="30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E4CC0" w:rsidRPr="000C0CAF" w:rsidRDefault="00AE4CC0" w:rsidP="000C0CAF">
            <w:pPr>
              <w:spacing w:line="276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C0CAF">
              <w:rPr>
                <w:b/>
                <w:i/>
                <w:iCs/>
                <w:color w:val="000000"/>
                <w:szCs w:val="20"/>
              </w:rPr>
              <w:t xml:space="preserve">Nº </w:t>
            </w:r>
            <w:proofErr w:type="spellStart"/>
            <w:r w:rsidRPr="000C0CAF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E4CC0" w:rsidRPr="000C0CAF" w:rsidRDefault="00AE4CC0" w:rsidP="000C0CAF">
            <w:pPr>
              <w:spacing w:line="276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proofErr w:type="spellStart"/>
            <w:r w:rsidRPr="000C0CAF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4CC0" w:rsidRPr="000C0CAF" w:rsidRDefault="00AE4CC0" w:rsidP="000C0CAF">
            <w:pPr>
              <w:spacing w:line="276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C0CAF">
              <w:rPr>
                <w:b/>
                <w:i/>
                <w:iCs/>
                <w:color w:val="00000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E4CC0" w:rsidRPr="000C0CAF" w:rsidRDefault="00AE4CC0" w:rsidP="000C0CAF">
            <w:pPr>
              <w:spacing w:line="276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C0CAF">
              <w:rPr>
                <w:b/>
                <w:i/>
                <w:iCs/>
                <w:color w:val="000000"/>
                <w:szCs w:val="20"/>
              </w:rPr>
              <w:t>Precio unitario (sin IVA)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E4CC0" w:rsidRPr="000C0CAF" w:rsidRDefault="00AE4CC0" w:rsidP="000C0CAF">
            <w:pPr>
              <w:spacing w:line="276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C0CAF">
              <w:rPr>
                <w:b/>
                <w:i/>
                <w:iCs/>
                <w:color w:val="000000"/>
                <w:szCs w:val="20"/>
              </w:rPr>
              <w:t>IMPORTE TOTAL (sin IVA)</w:t>
            </w:r>
          </w:p>
        </w:tc>
      </w:tr>
      <w:tr w:rsidR="00AE4CC0" w:rsidRPr="000C0CAF" w:rsidTr="000C0CAF">
        <w:trPr>
          <w:trHeight w:val="351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after="0"/>
              <w:jc w:val="center"/>
              <w:rPr>
                <w:b/>
                <w:color w:val="1F497D"/>
                <w:szCs w:val="20"/>
              </w:rPr>
            </w:pPr>
            <w:r w:rsidRPr="000C0CAF">
              <w:rPr>
                <w:b/>
                <w:color w:val="1F497D"/>
                <w:szCs w:val="20"/>
              </w:rPr>
              <w:t>LOTE 2. SUMINISTRO DE MATERIAL PARA AUDIOVISUALES Y DETECCIÓN</w:t>
            </w:r>
          </w:p>
        </w:tc>
      </w:tr>
      <w:tr w:rsidR="00AE4CC0" w:rsidRPr="000C0CAF" w:rsidTr="000C0CAF">
        <w:trPr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right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14,00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DIFUSOR FALSO TECHO 6W Suministro de difusor metálico color blanco de 5". Instalado en falso techo, con selección de potencia: 6, 3, 1.5 y 0.75Wr.m.s., y línea de alimentación de 1,5 mm2, bajo tubo corrugado de PVC D=20 </w:t>
            </w:r>
            <w:proofErr w:type="spellStart"/>
            <w:r w:rsidRPr="000C0CAF">
              <w:rPr>
                <w:color w:val="000000"/>
                <w:szCs w:val="20"/>
              </w:rPr>
              <w:t>mm.</w:t>
            </w:r>
            <w:proofErr w:type="spellEnd"/>
            <w:r w:rsidRPr="000C0CAF">
              <w:rPr>
                <w:color w:val="000000"/>
                <w:szCs w:val="20"/>
              </w:rPr>
              <w:t xml:space="preserve"> Incluyendo accesorios de anclaje y p.p. de conexionado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3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after="0"/>
              <w:jc w:val="right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2,00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PORTERO ELEC. ENTRADAS Portero electrónico formado por Kit de un pulsador simple, sistema analógico, incluyendo placa de calle, alimentador, </w:t>
            </w:r>
            <w:proofErr w:type="spellStart"/>
            <w:r w:rsidRPr="000C0CAF">
              <w:rPr>
                <w:color w:val="000000"/>
                <w:szCs w:val="20"/>
              </w:rPr>
              <w:t>abrepuertas</w:t>
            </w:r>
            <w:proofErr w:type="spellEnd"/>
            <w:r w:rsidRPr="000C0CAF">
              <w:rPr>
                <w:color w:val="000000"/>
                <w:szCs w:val="20"/>
              </w:rPr>
              <w:t xml:space="preserve"> y teléfono electrónico,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y</w:t>
            </w:r>
            <w:proofErr w:type="spellEnd"/>
            <w:r w:rsidRPr="000C0CAF">
              <w:rPr>
                <w:color w:val="000000"/>
                <w:szCs w:val="20"/>
              </w:rPr>
              <w:t xml:space="preserve"> .p. conexionado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 w:after="0"/>
              <w:jc w:val="right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SUMINISTRO DE TELECÁMARA CCD DIGITAL COLOR 1/3" 480 LÍNEAS 0,4 lux Suministro de </w:t>
            </w:r>
            <w:proofErr w:type="spellStart"/>
            <w:r w:rsidRPr="000C0CAF">
              <w:rPr>
                <w:color w:val="000000"/>
                <w:szCs w:val="20"/>
              </w:rPr>
              <w:t>telecámara</w:t>
            </w:r>
            <w:proofErr w:type="spellEnd"/>
            <w:r w:rsidRPr="000C0CAF">
              <w:rPr>
                <w:color w:val="000000"/>
                <w:szCs w:val="20"/>
              </w:rPr>
              <w:t xml:space="preserve"> digital CCD de color, para vigilancia de puertas de acceso (peatonal y vehículos)  formato 1/3", iluminación 0,3 lux. F 1.0., alta resolución 470,000 </w:t>
            </w:r>
            <w:proofErr w:type="spellStart"/>
            <w:r w:rsidRPr="000C0CAF">
              <w:rPr>
                <w:color w:val="000000"/>
                <w:szCs w:val="20"/>
              </w:rPr>
              <w:t>pixels</w:t>
            </w:r>
            <w:proofErr w:type="spellEnd"/>
            <w:r w:rsidRPr="000C0CAF">
              <w:rPr>
                <w:color w:val="000000"/>
                <w:szCs w:val="20"/>
              </w:rPr>
              <w:t xml:space="preserve">, 480 líneas color de resolución horizontal, objetivo C y CS, </w:t>
            </w:r>
            <w:proofErr w:type="spellStart"/>
            <w:r w:rsidRPr="000C0CAF">
              <w:rPr>
                <w:color w:val="000000"/>
                <w:szCs w:val="20"/>
              </w:rPr>
              <w:t>autoiris</w:t>
            </w:r>
            <w:proofErr w:type="spellEnd"/>
            <w:r w:rsidRPr="000C0CAF">
              <w:rPr>
                <w:color w:val="000000"/>
                <w:szCs w:val="20"/>
              </w:rPr>
              <w:t xml:space="preserve"> V/ESC/DC, control remoto, sensor de movimiento, con alimentación 220 V. AC, monitor de control en conserjería. Incluyendo accesorios de anclaje y p.p. conexionado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A30C55">
        <w:trPr>
          <w:trHeight w:val="3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 w:after="0"/>
              <w:jc w:val="right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MONITOR COLOR 19" TFT Monitor de 19" TFT color, pantalla 337x270 mm, </w:t>
            </w:r>
            <w:proofErr w:type="spellStart"/>
            <w:r w:rsidRPr="000C0CAF">
              <w:rPr>
                <w:color w:val="000000"/>
                <w:szCs w:val="20"/>
              </w:rPr>
              <w:t>pixels</w:t>
            </w:r>
            <w:proofErr w:type="spellEnd"/>
            <w:r w:rsidRPr="000C0CAF">
              <w:rPr>
                <w:color w:val="000000"/>
                <w:szCs w:val="20"/>
              </w:rPr>
              <w:t xml:space="preserve"> 1024x768, 16,7 millones de colores, alimentación de 220 V. Conexiones de entrada DC, VGA, vídeo compuesto RCA, </w:t>
            </w:r>
            <w:proofErr w:type="spellStart"/>
            <w:r w:rsidRPr="000C0CAF">
              <w:rPr>
                <w:color w:val="000000"/>
                <w:szCs w:val="20"/>
              </w:rPr>
              <w:t>superVHS</w:t>
            </w:r>
            <w:proofErr w:type="spellEnd"/>
            <w:r w:rsidRPr="000C0CAF">
              <w:rPr>
                <w:color w:val="000000"/>
                <w:szCs w:val="20"/>
              </w:rPr>
              <w:t>, entrada de audio con amplificador y altavoces en peana. Peso aproximado  8,22 Kg. Incluyendo accesorios de anclaje y p.p. de conexionado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 w:after="0"/>
              <w:jc w:val="right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lastRenderedPageBreak/>
              <w:t>15,00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 w:after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DETECTOR INFRARROJO PASIVO DE TECHO 14 m Detector volumétrico infrarrojo pasivo de techo de 14 m. de radio, 9 cortinas, altura de montaje hasta 3,6 m., verificación de eventos, </w:t>
            </w:r>
            <w:proofErr w:type="spellStart"/>
            <w:r w:rsidRPr="000C0CAF">
              <w:rPr>
                <w:color w:val="000000"/>
                <w:szCs w:val="20"/>
              </w:rPr>
              <w:t>microprocesado</w:t>
            </w:r>
            <w:proofErr w:type="spellEnd"/>
            <w:r w:rsidRPr="000C0CAF">
              <w:rPr>
                <w:color w:val="000000"/>
                <w:szCs w:val="20"/>
              </w:rPr>
              <w:t xml:space="preserve"> con óptica de espejo, anulación de cortinas, procesado 4D y autofocus. Incluyendo accesorios de anclaje y p.p. de conexionado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/>
              <w:jc w:val="right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CENTRAL INTERIORES ANTIRROBO 1-6 ZONAS Suministro de central de detección de robo de interiores bidireccional. Consta de 1 a 6 zona de robo más una zona de incendio, 1 zona de entrada-salida y programable por zona, armado rápido e interior, supervisión corte línea telefónica y cable de sirena, con teclado alfanumérico, salida PGM, batería.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/>
              <w:jc w:val="right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3,00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0C0CAF">
            <w:pPr>
              <w:spacing w:before="0"/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 w:after="0"/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SIRENA EXTERIOR GRAN POTENCIA ACERO Suministro de sirena exterior autoalimentada con carcasa de acero inoxidable, nivel sonoro 101 </w:t>
            </w:r>
            <w:proofErr w:type="spellStart"/>
            <w:r w:rsidRPr="000C0CAF">
              <w:rPr>
                <w:color w:val="000000"/>
                <w:szCs w:val="20"/>
              </w:rPr>
              <w:t>dBA</w:t>
            </w:r>
            <w:proofErr w:type="spellEnd"/>
            <w:r w:rsidRPr="000C0CAF">
              <w:rPr>
                <w:color w:val="000000"/>
                <w:szCs w:val="20"/>
              </w:rPr>
              <w:t xml:space="preserve">/3mt-110 </w:t>
            </w:r>
            <w:proofErr w:type="spellStart"/>
            <w:r w:rsidRPr="000C0CAF">
              <w:rPr>
                <w:color w:val="000000"/>
                <w:szCs w:val="20"/>
              </w:rPr>
              <w:t>dBA</w:t>
            </w:r>
            <w:proofErr w:type="spellEnd"/>
            <w:r w:rsidRPr="000C0CAF">
              <w:rPr>
                <w:color w:val="000000"/>
                <w:szCs w:val="20"/>
              </w:rPr>
              <w:t>/1mt., con temporización de 3</w:t>
            </w:r>
            <w:proofErr w:type="gramStart"/>
            <w:r w:rsidRPr="000C0CAF">
              <w:rPr>
                <w:color w:val="000000"/>
                <w:szCs w:val="20"/>
              </w:rPr>
              <w:t>,5,10</w:t>
            </w:r>
            <w:proofErr w:type="gramEnd"/>
            <w:r w:rsidRPr="000C0CAF">
              <w:rPr>
                <w:color w:val="000000"/>
                <w:szCs w:val="20"/>
              </w:rPr>
              <w:t xml:space="preserve"> y 20 minutos.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de conexionado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0C0CAF">
            <w:pPr>
              <w:spacing w:before="0"/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jc w:val="right"/>
              <w:rPr>
                <w:bCs/>
                <w:color w:val="000000"/>
                <w:szCs w:val="20"/>
              </w:rPr>
            </w:pPr>
            <w:r w:rsidRPr="000C0CAF">
              <w:rPr>
                <w:bCs/>
                <w:color w:val="000000"/>
                <w:szCs w:val="20"/>
              </w:rPr>
              <w:t>1,00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C0" w:rsidRPr="000C0CAF" w:rsidRDefault="00AE4CC0" w:rsidP="00254982">
            <w:pPr>
              <w:rPr>
                <w:bCs/>
                <w:color w:val="000000"/>
                <w:szCs w:val="20"/>
              </w:rPr>
            </w:pPr>
            <w:proofErr w:type="spellStart"/>
            <w:r w:rsidRPr="000C0CAF">
              <w:rPr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rPr>
                <w:color w:val="000000"/>
                <w:szCs w:val="20"/>
              </w:rPr>
            </w:pPr>
            <w:r w:rsidRPr="000C0CAF">
              <w:rPr>
                <w:color w:val="000000"/>
                <w:szCs w:val="20"/>
              </w:rPr>
              <w:t xml:space="preserve">TRANSMISOR TELEFÓNICO Suministro de transmisor telefónico de alarmas, con sintetizador de voz, grabación de números y mensaje por parte del usuario, duración del mensaje 60 segundos.  Memoria para cinco números telefónicos de 12 cifras cada uno. Memoria </w:t>
            </w:r>
            <w:proofErr w:type="spellStart"/>
            <w:r w:rsidRPr="000C0CAF">
              <w:rPr>
                <w:color w:val="000000"/>
                <w:szCs w:val="20"/>
              </w:rPr>
              <w:t>eprom</w:t>
            </w:r>
            <w:proofErr w:type="spellEnd"/>
            <w:r w:rsidRPr="000C0CAF">
              <w:rPr>
                <w:color w:val="000000"/>
                <w:szCs w:val="20"/>
              </w:rPr>
              <w:t xml:space="preserve"> para almacenamiento de los números, dos canales de trabajo independientes. Disparo de canales mediante circuito abierto o cerrado. Incluyendo accesorios de anclaje y </w:t>
            </w:r>
            <w:proofErr w:type="spellStart"/>
            <w:r w:rsidRPr="000C0CAF">
              <w:rPr>
                <w:color w:val="000000"/>
                <w:szCs w:val="20"/>
              </w:rPr>
              <w:t>p.p</w:t>
            </w:r>
            <w:proofErr w:type="spellEnd"/>
            <w:r w:rsidRPr="000C0CAF">
              <w:rPr>
                <w:color w:val="000000"/>
                <w:szCs w:val="20"/>
              </w:rPr>
              <w:t xml:space="preserve"> conexionado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0" w:rsidRPr="000C0CAF" w:rsidRDefault="00AE4CC0" w:rsidP="00254982">
            <w:pPr>
              <w:jc w:val="right"/>
              <w:rPr>
                <w:color w:val="000000"/>
                <w:szCs w:val="20"/>
              </w:rPr>
            </w:pPr>
          </w:p>
        </w:tc>
      </w:tr>
      <w:tr w:rsidR="00AE4CC0" w:rsidRPr="000C0CAF" w:rsidTr="000C0CAF">
        <w:trPr>
          <w:trHeight w:val="30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CC0" w:rsidRPr="000C0CAF" w:rsidRDefault="00AE4CC0" w:rsidP="007C5418">
            <w:pPr>
              <w:jc w:val="left"/>
              <w:rPr>
                <w:color w:val="000000"/>
                <w:szCs w:val="20"/>
              </w:rPr>
            </w:pPr>
            <w:r w:rsidRPr="000C0CAF">
              <w:rPr>
                <w:b/>
                <w:color w:val="000000"/>
                <w:szCs w:val="20"/>
              </w:rPr>
              <w:t xml:space="preserve">IMPORTE TOTAL OFERTADO SIN IVA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CC0" w:rsidRPr="000C0CAF" w:rsidRDefault="00AE4CC0" w:rsidP="00254982">
            <w:pPr>
              <w:jc w:val="right"/>
              <w:rPr>
                <w:b/>
                <w:color w:val="000000"/>
                <w:szCs w:val="20"/>
              </w:rPr>
            </w:pPr>
          </w:p>
        </w:tc>
      </w:tr>
    </w:tbl>
    <w:p w:rsidR="00FB384B" w:rsidRDefault="00FB384B" w:rsidP="00FB384B">
      <w:pPr>
        <w:widowControl w:val="0"/>
        <w:suppressAutoHyphens/>
        <w:autoSpaceDE w:val="0"/>
        <w:autoSpaceDN w:val="0"/>
        <w:rPr>
          <w:szCs w:val="20"/>
        </w:rPr>
      </w:pPr>
    </w:p>
    <w:p w:rsidR="00A30C55" w:rsidRDefault="00A30C55" w:rsidP="00FB384B">
      <w:pPr>
        <w:widowControl w:val="0"/>
        <w:suppressAutoHyphens/>
        <w:autoSpaceDE w:val="0"/>
        <w:autoSpaceDN w:val="0"/>
        <w:rPr>
          <w:szCs w:val="20"/>
        </w:rPr>
      </w:pPr>
    </w:p>
    <w:p w:rsidR="00A30C55" w:rsidRDefault="00A30C55" w:rsidP="00FB384B">
      <w:pPr>
        <w:widowControl w:val="0"/>
        <w:suppressAutoHyphens/>
        <w:autoSpaceDE w:val="0"/>
        <w:autoSpaceDN w:val="0"/>
        <w:rPr>
          <w:szCs w:val="20"/>
        </w:rPr>
      </w:pPr>
    </w:p>
    <w:p w:rsidR="00A30C55" w:rsidRDefault="00A30C55" w:rsidP="00FB384B">
      <w:pPr>
        <w:widowControl w:val="0"/>
        <w:suppressAutoHyphens/>
        <w:autoSpaceDE w:val="0"/>
        <w:autoSpaceDN w:val="0"/>
        <w:rPr>
          <w:szCs w:val="20"/>
        </w:rPr>
      </w:pPr>
    </w:p>
    <w:p w:rsidR="00FB384B" w:rsidRPr="0074072E" w:rsidRDefault="00FB384B" w:rsidP="00FB384B">
      <w:pPr>
        <w:widowControl w:val="0"/>
        <w:suppressAutoHyphens/>
        <w:autoSpaceDE w:val="0"/>
        <w:autoSpaceDN w:val="0"/>
        <w:rPr>
          <w:color w:val="FF0000"/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ofertados</w:t>
      </w:r>
      <w:r w:rsidRPr="0074072E">
        <w:rPr>
          <w:color w:val="FF0000"/>
          <w:szCs w:val="20"/>
        </w:rPr>
        <w:t>.</w:t>
      </w:r>
    </w:p>
    <w:p w:rsidR="00FB384B" w:rsidRDefault="00FB384B" w:rsidP="00FB384B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:rsidR="000C0CAF" w:rsidRDefault="000C0CAF" w:rsidP="00066D65">
      <w:pPr>
        <w:widowControl w:val="0"/>
        <w:suppressAutoHyphens/>
        <w:autoSpaceDE w:val="0"/>
        <w:autoSpaceDN w:val="0"/>
        <w:ind w:firstLine="708"/>
        <w:rPr>
          <w:rFonts w:cs="Arial"/>
          <w:b/>
          <w:bCs/>
          <w:highlight w:val="yellow"/>
        </w:rPr>
      </w:pPr>
    </w:p>
    <w:p w:rsidR="00066D65" w:rsidRDefault="00066D65" w:rsidP="00066D65">
      <w:pPr>
        <w:widowControl w:val="0"/>
        <w:suppressAutoHyphens/>
        <w:autoSpaceDE w:val="0"/>
        <w:autoSpaceDN w:val="0"/>
        <w:ind w:firstLine="708"/>
        <w:rPr>
          <w:rFonts w:cs="Arial"/>
          <w:b/>
          <w:bCs/>
        </w:rPr>
      </w:pPr>
      <w:r w:rsidRPr="009F376B">
        <w:rPr>
          <w:rFonts w:cs="Arial"/>
          <w:b/>
          <w:bCs/>
        </w:rPr>
        <w:t>RESOLUCIÓN DE LOS EQUIPOS MONITOR Y TELECÁMARA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185"/>
      </w:tblGrid>
      <w:tr w:rsidR="00B73F19" w:rsidRPr="007B300B" w:rsidTr="00254982">
        <w:trPr>
          <w:cantSplit/>
          <w:trHeight w:val="418"/>
        </w:trPr>
        <w:tc>
          <w:tcPr>
            <w:tcW w:w="4820" w:type="dxa"/>
            <w:shd w:val="clear" w:color="auto" w:fill="auto"/>
            <w:vAlign w:val="center"/>
          </w:tcPr>
          <w:p w:rsidR="00B73F19" w:rsidRPr="008D6E07" w:rsidRDefault="00B73F19" w:rsidP="00254982">
            <w:pPr>
              <w:suppressAutoHyphens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  <w:r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>Pantallas</w:t>
            </w:r>
          </w:p>
        </w:tc>
        <w:tc>
          <w:tcPr>
            <w:tcW w:w="3185" w:type="dxa"/>
            <w:shd w:val="clear" w:color="auto" w:fill="auto"/>
          </w:tcPr>
          <w:p w:rsidR="00B73F19" w:rsidRPr="008D6E07" w:rsidRDefault="00B73F19" w:rsidP="00B42999">
            <w:pPr>
              <w:jc w:val="center"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  <w:r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>Resolución en píxeles</w:t>
            </w:r>
          </w:p>
        </w:tc>
      </w:tr>
      <w:tr w:rsidR="00B73F19" w:rsidRPr="007B300B" w:rsidTr="00254982">
        <w:trPr>
          <w:cantSplit/>
          <w:trHeight w:val="418"/>
        </w:trPr>
        <w:tc>
          <w:tcPr>
            <w:tcW w:w="4820" w:type="dxa"/>
            <w:shd w:val="clear" w:color="auto" w:fill="auto"/>
            <w:vAlign w:val="center"/>
          </w:tcPr>
          <w:p w:rsidR="00B73F19" w:rsidRPr="00B42999" w:rsidRDefault="00B73F19" w:rsidP="00254982">
            <w:pPr>
              <w:suppressAutoHyphens/>
              <w:rPr>
                <w:rFonts w:cs="Arial"/>
                <w:spacing w:val="-3"/>
                <w:szCs w:val="20"/>
              </w:rPr>
            </w:pPr>
            <w:r w:rsidRPr="00B42999">
              <w:rPr>
                <w:rFonts w:cs="Arial"/>
                <w:spacing w:val="-3"/>
                <w:szCs w:val="20"/>
              </w:rPr>
              <w:t xml:space="preserve">Monitor </w:t>
            </w:r>
          </w:p>
        </w:tc>
        <w:tc>
          <w:tcPr>
            <w:tcW w:w="3185" w:type="dxa"/>
            <w:shd w:val="clear" w:color="auto" w:fill="auto"/>
          </w:tcPr>
          <w:p w:rsidR="00B73F19" w:rsidRPr="007B300B" w:rsidRDefault="00B73F19" w:rsidP="00254982">
            <w:pPr>
              <w:jc w:val="right"/>
              <w:rPr>
                <w:szCs w:val="20"/>
              </w:rPr>
            </w:pPr>
          </w:p>
        </w:tc>
      </w:tr>
      <w:tr w:rsidR="00B73F19" w:rsidRPr="007B300B" w:rsidTr="00254982">
        <w:trPr>
          <w:cantSplit/>
          <w:trHeight w:val="418"/>
        </w:trPr>
        <w:tc>
          <w:tcPr>
            <w:tcW w:w="4820" w:type="dxa"/>
            <w:shd w:val="clear" w:color="auto" w:fill="auto"/>
            <w:vAlign w:val="center"/>
          </w:tcPr>
          <w:p w:rsidR="00B73F19" w:rsidRPr="00B42999" w:rsidRDefault="00B73F19" w:rsidP="00254982">
            <w:pPr>
              <w:suppressAutoHyphens/>
              <w:rPr>
                <w:rFonts w:cs="Arial"/>
                <w:spacing w:val="-3"/>
                <w:szCs w:val="20"/>
              </w:rPr>
            </w:pPr>
            <w:proofErr w:type="spellStart"/>
            <w:r w:rsidRPr="00B42999">
              <w:rPr>
                <w:rFonts w:cs="Arial"/>
                <w:spacing w:val="-3"/>
                <w:szCs w:val="20"/>
              </w:rPr>
              <w:t>Telecámara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B73F19" w:rsidRPr="007B300B" w:rsidRDefault="00B73F19" w:rsidP="00254982">
            <w:pPr>
              <w:jc w:val="right"/>
              <w:rPr>
                <w:szCs w:val="20"/>
              </w:rPr>
            </w:pPr>
          </w:p>
        </w:tc>
      </w:tr>
    </w:tbl>
    <w:p w:rsidR="00B73F19" w:rsidRDefault="00B73F19" w:rsidP="00066D65">
      <w:pPr>
        <w:widowControl w:val="0"/>
        <w:suppressAutoHyphens/>
        <w:autoSpaceDE w:val="0"/>
        <w:autoSpaceDN w:val="0"/>
        <w:ind w:firstLine="708"/>
        <w:rPr>
          <w:rFonts w:cs="Arial"/>
          <w:b/>
          <w:bCs/>
        </w:rPr>
      </w:pPr>
    </w:p>
    <w:p w:rsidR="00066D65" w:rsidRDefault="00066D65" w:rsidP="00FB384B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066D65" w:rsidRDefault="00066D65" w:rsidP="00FB384B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</w:p>
    <w:p w:rsidR="00FB384B" w:rsidRDefault="00FB384B" w:rsidP="00FB384B">
      <w:pPr>
        <w:suppressAutoHyphens/>
        <w:jc w:val="right"/>
        <w:rPr>
          <w:rFonts w:cs="Arial"/>
          <w:bCs/>
          <w:spacing w:val="-3"/>
        </w:rPr>
      </w:pPr>
      <w:r w:rsidRPr="0074072E">
        <w:rPr>
          <w:rFonts w:cs="Arial"/>
          <w:bCs/>
          <w:spacing w:val="-3"/>
        </w:rPr>
        <w:t>(Sello, fecha y firma del ofertante)</w:t>
      </w:r>
    </w:p>
    <w:p w:rsidR="00FB384B" w:rsidRDefault="00FB384B" w:rsidP="00FB384B">
      <w:pPr>
        <w:widowControl w:val="0"/>
        <w:suppressAutoHyphens/>
        <w:autoSpaceDE w:val="0"/>
        <w:autoSpaceDN w:val="0"/>
        <w:jc w:val="right"/>
        <w:rPr>
          <w:rFonts w:cs="Arial"/>
          <w:bCs/>
          <w:i/>
          <w:spacing w:val="-3"/>
        </w:rPr>
      </w:pPr>
      <w:r w:rsidRPr="007551CC">
        <w:rPr>
          <w:rFonts w:cs="Arial"/>
          <w:bCs/>
          <w:i/>
          <w:spacing w:val="-3"/>
        </w:rPr>
        <w:t>(Se deben firmar todas las hojas de la oferta)</w:t>
      </w:r>
    </w:p>
    <w:p w:rsidR="0074072E" w:rsidRPr="0074072E" w:rsidRDefault="0074072E" w:rsidP="0040282A">
      <w:pPr>
        <w:widowControl w:val="0"/>
        <w:suppressAutoHyphens/>
        <w:autoSpaceDE w:val="0"/>
        <w:autoSpaceDN w:val="0"/>
        <w:jc w:val="right"/>
        <w:rPr>
          <w:rFonts w:cs="Arial"/>
          <w:bCs/>
        </w:rPr>
      </w:pPr>
      <w:r w:rsidRPr="0074072E">
        <w:rPr>
          <w:rFonts w:cs="Arial"/>
          <w:bCs/>
          <w:spacing w:val="-3"/>
        </w:rPr>
        <w:br w:type="page"/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lastRenderedPageBreak/>
        <w:t>ANEXO II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</w:p>
    <w:p w:rsidR="00CD69B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b/>
          <w:iCs/>
          <w:szCs w:val="20"/>
        </w:rPr>
      </w:pPr>
      <w:r w:rsidRPr="0074072E">
        <w:rPr>
          <w:rFonts w:cs="Arial"/>
          <w:b/>
          <w:spacing w:val="-3"/>
        </w:rPr>
        <w:t>DECLARACIÓN RESPONSABLE DE CUMPLIMIENTO DE LOS REQUISITOS MÍNIMOS PARA LICITAR AL CONCURSO</w:t>
      </w:r>
      <w:r w:rsidR="00F30ED9">
        <w:rPr>
          <w:rFonts w:cs="Arial"/>
          <w:b/>
          <w:spacing w:val="-3"/>
        </w:rPr>
        <w:t xml:space="preserve"> DE</w:t>
      </w:r>
      <w:r w:rsidRPr="0074072E">
        <w:rPr>
          <w:rFonts w:cs="Arial"/>
          <w:b/>
          <w:spacing w:val="-3"/>
        </w:rPr>
        <w:t xml:space="preserve"> </w:t>
      </w:r>
      <w:r w:rsidR="00F30ED9" w:rsidRPr="00F30ED9">
        <w:rPr>
          <w:b/>
          <w:iCs/>
          <w:szCs w:val="20"/>
        </w:rPr>
        <w:t>SUMINISTRO DE MATERIALES PARA ILUMINACIÓN, AUDIOVISUALES Y DETECCIÓN PARA OBRAS DE ADAPTACIÓN DE EDIFICIO PARA CEIP EN MIGUELTURRA (CIUDAD REAL)</w:t>
      </w:r>
    </w:p>
    <w:p w:rsidR="0074072E" w:rsidRPr="0074072E" w:rsidRDefault="00CD69B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spacing w:val="-3"/>
        </w:rPr>
      </w:pPr>
      <w:proofErr w:type="spellStart"/>
      <w:r w:rsidRPr="0093214F">
        <w:rPr>
          <w:b/>
          <w:iCs/>
          <w:szCs w:val="20"/>
        </w:rPr>
        <w:t>Ref</w:t>
      </w:r>
      <w:proofErr w:type="spellEnd"/>
      <w:r w:rsidRPr="0093214F">
        <w:rPr>
          <w:b/>
          <w:iCs/>
          <w:szCs w:val="20"/>
        </w:rPr>
        <w:t>: TSA0065</w:t>
      </w:r>
      <w:r w:rsidR="002D664E">
        <w:rPr>
          <w:b/>
          <w:iCs/>
          <w:szCs w:val="20"/>
        </w:rPr>
        <w:t>747</w:t>
      </w:r>
    </w:p>
    <w:p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74072E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736D64">
        <w:rPr>
          <w:rFonts w:cs="Arial"/>
        </w:rPr>
        <w:t>l</w:t>
      </w:r>
      <w:r w:rsidRPr="0074072E">
        <w:rPr>
          <w:rFonts w:cs="Arial"/>
          <w:i/>
        </w:rPr>
        <w:t>a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:rsidR="0074072E" w:rsidRPr="0074072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Pr="0074072E">
        <w:rPr>
          <w:rFonts w:cs="Arial"/>
          <w:b/>
          <w:spacing w:val="-3"/>
        </w:rPr>
        <w:t xml:space="preserve"> </w:t>
      </w:r>
      <w:r w:rsidR="007551CC" w:rsidRPr="007551CC">
        <w:rPr>
          <w:rFonts w:cs="Arial"/>
          <w:spacing w:val="-3"/>
        </w:rPr>
        <w:t>del</w:t>
      </w:r>
      <w:r w:rsidR="007551CC" w:rsidRPr="007551CC">
        <w:rPr>
          <w:iCs/>
          <w:szCs w:val="20"/>
        </w:rPr>
        <w:t xml:space="preserve"> </w:t>
      </w:r>
      <w:r w:rsidR="00F30ED9" w:rsidRPr="00F30ED9">
        <w:rPr>
          <w:iCs/>
          <w:szCs w:val="20"/>
        </w:rPr>
        <w:t>SUMINISTRO DE MATERIALES PARA ILUMINACIÓN, AUDIOVISUALES Y DETECCIÓN PARA OBRAS DE ADAPTACIÓN DE EDIFICIO PARA CEIP EN MIGUELTURRA (CIUDAD REAL)</w:t>
      </w:r>
      <w:r w:rsidR="00B676A1" w:rsidRPr="00CD69BE">
        <w:rPr>
          <w:iCs/>
          <w:szCs w:val="20"/>
        </w:rPr>
        <w:t>.</w:t>
      </w:r>
      <w:r w:rsidR="00B676A1" w:rsidRPr="00B676A1">
        <w:rPr>
          <w:iCs/>
          <w:szCs w:val="20"/>
        </w:rPr>
        <w:t xml:space="preserve"> Ref</w:t>
      </w:r>
      <w:r w:rsidR="00B676A1">
        <w:rPr>
          <w:iCs/>
          <w:szCs w:val="20"/>
        </w:rPr>
        <w:t>.</w:t>
      </w:r>
      <w:r w:rsidR="00CD69BE">
        <w:rPr>
          <w:iCs/>
          <w:szCs w:val="20"/>
        </w:rPr>
        <w:t xml:space="preserve">: </w:t>
      </w:r>
      <w:r w:rsidR="00CD69BE" w:rsidRPr="0093214F">
        <w:rPr>
          <w:iCs/>
          <w:szCs w:val="20"/>
        </w:rPr>
        <w:t>TSA0065</w:t>
      </w:r>
      <w:r w:rsidR="00F30ED9">
        <w:rPr>
          <w:iCs/>
          <w:szCs w:val="20"/>
        </w:rPr>
        <w:t>747</w:t>
      </w:r>
      <w:r w:rsidR="00B676A1" w:rsidRPr="0093214F">
        <w:rPr>
          <w:rFonts w:cs="Arial"/>
          <w:b/>
          <w:spacing w:val="-3"/>
        </w:rPr>
        <w:t xml:space="preserve"> </w:t>
      </w:r>
      <w:r w:rsidR="005F49E4" w:rsidRPr="0093214F">
        <w:rPr>
          <w:rFonts w:cs="Arial"/>
          <w:spacing w:val="-3"/>
        </w:rPr>
        <w:t>por parte de</w:t>
      </w:r>
      <w:r w:rsidRPr="0093214F">
        <w:rPr>
          <w:rFonts w:cs="Arial"/>
          <w:b/>
          <w:spacing w:val="-3"/>
        </w:rPr>
        <w:t xml:space="preserve"> </w:t>
      </w:r>
      <w:r w:rsidR="005F49E4" w:rsidRPr="0093214F">
        <w:rPr>
          <w:rFonts w:cs="Arial"/>
          <w:spacing w:val="-3"/>
        </w:rPr>
        <w:t xml:space="preserve">la </w:t>
      </w:r>
      <w:r w:rsidRPr="0093214F">
        <w:rPr>
          <w:rFonts w:cs="Arial"/>
          <w:i/>
        </w:rPr>
        <w:t>Empresa de Transformación</w:t>
      </w:r>
      <w:r w:rsidRPr="0074072E">
        <w:rPr>
          <w:rFonts w:cs="Arial"/>
          <w:i/>
        </w:rPr>
        <w:t xml:space="preserve"> Agraria, S.A., S.M.E., M.P.,</w:t>
      </w:r>
    </w:p>
    <w:p w:rsidR="0074072E" w:rsidRDefault="0074072E" w:rsidP="005607C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20438F" w:rsidRPr="00802F1D" w:rsidRDefault="0020438F" w:rsidP="0020438F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802F1D">
        <w:rPr>
          <w:rFonts w:cs="Arial"/>
          <w:b/>
          <w:spacing w:val="-3"/>
          <w:sz w:val="24"/>
          <w:u w:val="single"/>
        </w:rPr>
        <w:t>I. INFORMACIÓN DEL LICITADOR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74072E">
        <w:rPr>
          <w:rFonts w:cs="Arial"/>
          <w:b/>
          <w:spacing w:val="-3"/>
          <w:u w:val="single"/>
        </w:rPr>
        <w:t>1.1.- DATOS GENERALES DEL LICITADOR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Razón </w:t>
      </w:r>
      <w:proofErr w:type="gramStart"/>
      <w:r w:rsidRPr="0074072E">
        <w:rPr>
          <w:rFonts w:cs="Arial"/>
          <w:spacing w:val="-3"/>
        </w:rPr>
        <w:t>Social :</w:t>
      </w:r>
      <w:proofErr w:type="gramEnd"/>
      <w:r w:rsidRPr="0074072E">
        <w:rPr>
          <w:rFonts w:cs="Arial"/>
          <w:spacing w:val="-3"/>
        </w:rPr>
        <w:t xml:space="preserve"> ______________________________________________________________________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Dirección de internet (página web en su caso): 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Porcentaje de trabajadores discapacitados o desfavorecidos: 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20438F" w:rsidRPr="005F49E4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F49E4">
        <w:rPr>
          <w:rFonts w:cs="Arial"/>
          <w:b/>
          <w:spacing w:val="-3"/>
          <w:u w:val="single"/>
        </w:rPr>
        <w:t>1.</w:t>
      </w:r>
      <w:r>
        <w:rPr>
          <w:rFonts w:cs="Arial"/>
          <w:b/>
          <w:spacing w:val="-3"/>
          <w:u w:val="single"/>
        </w:rPr>
        <w:t>2</w:t>
      </w:r>
      <w:r w:rsidRPr="005F49E4">
        <w:rPr>
          <w:rFonts w:cs="Arial"/>
          <w:b/>
          <w:spacing w:val="-3"/>
          <w:u w:val="single"/>
        </w:rPr>
        <w:t xml:space="preserve">.- OFERTAS DE AGRUPACIONES DE ENTIDADES / </w:t>
      </w:r>
      <w:proofErr w:type="spellStart"/>
      <w:r w:rsidRPr="005F49E4">
        <w:rPr>
          <w:rFonts w:cs="Arial"/>
          <w:b/>
          <w:spacing w:val="-3"/>
          <w:u w:val="single"/>
        </w:rPr>
        <w:t>UTEs</w:t>
      </w:r>
      <w:proofErr w:type="spellEnd"/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Participo en la licitación conjuntamente con otro/s operadores económicos: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:rsidR="0020438F" w:rsidRPr="0074072E" w:rsidRDefault="0020438F" w:rsidP="0020438F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:rsidR="0020438F" w:rsidRPr="0074072E" w:rsidRDefault="0020438F" w:rsidP="0020438F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Dirección:_______________________________________________________________________</w:t>
      </w:r>
    </w:p>
    <w:p w:rsidR="0020438F" w:rsidRPr="0074072E" w:rsidRDefault="0020438F" w:rsidP="0020438F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:rsidR="0020438F" w:rsidRPr="0074072E" w:rsidRDefault="0020438F" w:rsidP="0020438F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:rsidR="0020438F" w:rsidRPr="0074072E" w:rsidRDefault="0020438F" w:rsidP="0020438F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Cargo en el grupo/Calidad en la que actúa: ___________________________</w:t>
      </w:r>
    </w:p>
    <w:p w:rsidR="0020438F" w:rsidRPr="0074072E" w:rsidRDefault="0020438F" w:rsidP="0020438F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el Sobre A de la presente licitación adjunto: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Declaración responsable firmada por todos los miembros de su compromiso de formalizar la UTE/agrupación en caso de resultar adjudicataria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 xml:space="preserve">requisitos mínimos por cada uno de los participantes </w:t>
      </w:r>
      <w:r w:rsidRPr="0074072E">
        <w:rPr>
          <w:rFonts w:cs="Arial"/>
          <w:i/>
          <w:spacing w:val="-3"/>
        </w:rPr>
        <w:lastRenderedPageBreak/>
        <w:t>en la UTE / Agrupación.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20438F" w:rsidRPr="005F49E4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1.3</w:t>
      </w:r>
      <w:r w:rsidRPr="005F49E4">
        <w:rPr>
          <w:rFonts w:cs="Arial"/>
          <w:b/>
          <w:spacing w:val="-3"/>
          <w:u w:val="single"/>
        </w:rPr>
        <w:t>.- REPRESENTANTE DEL LICITADOR EN EL PROCEDIMIENTO DE LICITACIÓN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</w:t>
      </w:r>
      <w:proofErr w:type="gramStart"/>
      <w:r w:rsidRPr="0074072E">
        <w:rPr>
          <w:rFonts w:cs="Arial"/>
          <w:spacing w:val="-3"/>
        </w:rPr>
        <w:t>:_</w:t>
      </w:r>
      <w:proofErr w:type="gramEnd"/>
      <w:r w:rsidRPr="0074072E">
        <w:rPr>
          <w:rFonts w:cs="Arial"/>
          <w:spacing w:val="-3"/>
        </w:rPr>
        <w:t>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20438F" w:rsidRPr="00567BD6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1.</w:t>
      </w:r>
      <w:r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ACREDITACIÓN DE LA SOLVENCIA CON MEDIOS EXTERNOS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Pr="0074072E">
        <w:rPr>
          <w:rFonts w:cs="Arial"/>
          <w:spacing w:val="-3"/>
        </w:rPr>
        <w:t xml:space="preserve"> para acreditar la solvencia económica y financiera; y técnica y profesional a la capacidad de otras entidades: SI / NO.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>o, a solicitud de Tragsa</w:t>
      </w:r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:rsidR="0020438F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:rsidR="0020438F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  <w:szCs w:val="16"/>
        </w:rPr>
      </w:pPr>
    </w:p>
    <w:p w:rsidR="0020438F" w:rsidRPr="00802F1D" w:rsidRDefault="0020438F" w:rsidP="0020438F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t>I</w:t>
      </w:r>
      <w:r w:rsidRPr="00802F1D">
        <w:rPr>
          <w:rFonts w:cs="Arial"/>
          <w:b/>
          <w:spacing w:val="-3"/>
          <w:sz w:val="24"/>
          <w:u w:val="single"/>
        </w:rPr>
        <w:t xml:space="preserve">I. </w:t>
      </w:r>
      <w:r>
        <w:rPr>
          <w:rFonts w:cs="Arial"/>
          <w:b/>
          <w:spacing w:val="-3"/>
          <w:sz w:val="24"/>
          <w:u w:val="single"/>
        </w:rPr>
        <w:t xml:space="preserve">MOTIVO </w:t>
      </w:r>
      <w:r w:rsidRPr="00802F1D">
        <w:rPr>
          <w:rFonts w:cs="Arial"/>
          <w:b/>
          <w:spacing w:val="-3"/>
          <w:sz w:val="24"/>
          <w:u w:val="single"/>
        </w:rPr>
        <w:t xml:space="preserve">DE </w:t>
      </w:r>
      <w:r>
        <w:rPr>
          <w:rFonts w:cs="Arial"/>
          <w:b/>
          <w:spacing w:val="-3"/>
          <w:sz w:val="24"/>
          <w:u w:val="single"/>
        </w:rPr>
        <w:t>EXCLUSIÓN</w:t>
      </w:r>
    </w:p>
    <w:p w:rsidR="0020438F" w:rsidRPr="00567BD6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2.1.- CONDENAS PENALES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al que represento, las personas miembros de su órgano de administración, de dirección o de </w:t>
      </w:r>
      <w:r w:rsidRPr="0074072E">
        <w:rPr>
          <w:rFonts w:cs="Arial"/>
          <w:spacing w:val="-3"/>
        </w:rPr>
        <w:lastRenderedPageBreak/>
        <w:t>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</w:t>
      </w:r>
      <w:r>
        <w:rPr>
          <w:rFonts w:cs="Arial"/>
          <w:spacing w:val="-3"/>
        </w:rPr>
        <w:t>de un Estado Miembro de la UE</w:t>
      </w:r>
      <w:proofErr w:type="gramStart"/>
      <w:r>
        <w:rPr>
          <w:rFonts w:cs="Arial"/>
          <w:spacing w:val="-3"/>
        </w:rPr>
        <w:t xml:space="preserve">: 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proofErr w:type="gramEnd"/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:rsidR="0020438F" w:rsidRPr="0074072E" w:rsidRDefault="0020438F" w:rsidP="0020438F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La información anterior se halla disponible sin coste en una base de datos d</w:t>
      </w:r>
      <w:r>
        <w:rPr>
          <w:rFonts w:cs="Arial"/>
          <w:spacing w:val="-3"/>
        </w:rPr>
        <w:t xml:space="preserve">e un Estado Miembro de la UE: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20438F" w:rsidRPr="0074072E" w:rsidRDefault="0020438F" w:rsidP="0020438F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Url: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Código: ______________________________</w:t>
      </w:r>
    </w:p>
    <w:p w:rsidR="0020438F" w:rsidRPr="0074072E" w:rsidRDefault="0020438F" w:rsidP="0020438F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>
        <w:rPr>
          <w:rFonts w:cs="Arial"/>
          <w:spacing w:val="-3"/>
        </w:rPr>
        <w:t xml:space="preserve">e un Estado Miembro de la UE: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>
        <w:rPr>
          <w:rFonts w:cs="Arial"/>
          <w:spacing w:val="-3"/>
        </w:rPr>
        <w:t xml:space="preserve">e un Estado Miembro de la UE: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20438F" w:rsidRPr="0074072E" w:rsidRDefault="0020438F" w:rsidP="0020438F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>
        <w:rPr>
          <w:rFonts w:cs="Arial"/>
          <w:spacing w:val="-3"/>
        </w:rPr>
        <w:t xml:space="preserve">e un Estado Miembro de la UE: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20438F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20438F" w:rsidRPr="00567BD6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lastRenderedPageBreak/>
        <w:t>2.2.- PAGO DE IMPUESTOS O DE COTIZACIONES A LA SEGURIDAD SOCIAL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2.2.1.- Pago de impuestos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20438F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incumplimiento ha quedado establecido por medios distintos de una resolución judicial o administrativa: 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La resolución anterior es firme y vinculante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:rsidR="0020438F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>
        <w:rPr>
          <w:rFonts w:cs="Arial"/>
          <w:spacing w:val="-3"/>
        </w:rPr>
        <w:t xml:space="preserve">e un Estado Miembro de la UE: 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y en España:</w:t>
      </w:r>
      <w:r w:rsidRPr="0074072E">
        <w:rPr>
          <w:rFonts w:cs="Arial"/>
          <w:b/>
          <w:spacing w:val="-3"/>
        </w:rPr>
        <w:t xml:space="preserve">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2.2.2.- Pago de cotizaciones a la seguridad social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Importe: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20438F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incumplimiento ha quedado establecido por medios distintos de una resolución judicial o administrativa: 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</w:t>
      </w:r>
      <w:r w:rsidRPr="0074072E">
        <w:rPr>
          <w:rFonts w:cs="Arial"/>
          <w:i/>
          <w:spacing w:val="-3"/>
          <w:sz w:val="16"/>
        </w:rPr>
        <w:t>(En caso de que sea firme y vinculante)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:rsidR="0020438F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20438F" w:rsidRPr="00567BD6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2.3-. INSOLVENCIA, CONFLICTOS DE INTERESES O LA FALTA PROFESIONAL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</w:t>
      </w:r>
      <w:r>
        <w:rPr>
          <w:rFonts w:cs="Arial"/>
          <w:spacing w:val="-3"/>
        </w:rPr>
        <w:t>el pliego</w:t>
      </w:r>
      <w:r w:rsidRPr="0074072E">
        <w:rPr>
          <w:rFonts w:cs="Arial"/>
          <w:spacing w:val="-3"/>
        </w:rPr>
        <w:t xml:space="preserve"> de la contratación o en el art. 18, ap.. 2 de la Directiva 2014/24/UE, ha cumplido con todas ellas: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incumplimiento, se indicará lo siguiente)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Preceptos incumplidos: ______________________________________________________________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Medidas adoptadas para demostrar su credibilidad: 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20438F" w:rsidRPr="00567BD6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SOMETIMIENTO A FUERO NACIONAL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por la presente renuncia a cualquier fuero que pudiera corresponderme en las controversias que se produzcan con motivo de la contratación referida, sometiéndome para estos asuntos y cualesquiera otros relacionados con el correspondiente contrato a los Juzgados y Tribunales Españoles.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20438F" w:rsidRPr="00567BD6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>
        <w:rPr>
          <w:rFonts w:cs="Arial"/>
          <w:b/>
          <w:spacing w:val="-3"/>
          <w:u w:val="single"/>
        </w:rPr>
        <w:t>5</w:t>
      </w:r>
      <w:r w:rsidRPr="00567BD6">
        <w:rPr>
          <w:rFonts w:cs="Arial"/>
          <w:b/>
          <w:spacing w:val="-3"/>
          <w:u w:val="single"/>
        </w:rPr>
        <w:t>.- MOTIVOS DE EXCLUSIÓN NACIONALES</w:t>
      </w:r>
    </w:p>
    <w:p w:rsidR="0020438F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>
        <w:rPr>
          <w:lang w:val="es-ES_tradnl"/>
        </w:rPr>
        <w:t xml:space="preserve">Ley 9/2017, de 9 de noviembre. </w:t>
      </w:r>
      <w:proofErr w:type="gramStart"/>
      <w:r w:rsidRPr="0022620B">
        <w:rPr>
          <w:lang w:val="es-ES_tradnl"/>
        </w:rPr>
        <w:t>por</w:t>
      </w:r>
      <w:proofErr w:type="gramEnd"/>
      <w:r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20438F" w:rsidRPr="00567BD6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>
        <w:rPr>
          <w:rFonts w:cs="Arial"/>
          <w:b/>
          <w:spacing w:val="-3"/>
          <w:u w:val="single"/>
        </w:rPr>
        <w:t>6</w:t>
      </w:r>
      <w:r w:rsidRPr="00567BD6">
        <w:rPr>
          <w:rFonts w:cs="Arial"/>
          <w:b/>
          <w:spacing w:val="-3"/>
          <w:u w:val="single"/>
        </w:rPr>
        <w:t>.- PERTENENCIA A GRUPO EMPRESARIAL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Así mismo declaro que respecto de la presente licitación, presentan proposiciones a dicha licitación otras empresas del mismo grupo: 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:rsidR="0020438F" w:rsidRPr="0074072E" w:rsidRDefault="0020438F" w:rsidP="0020438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:rsidR="0020438F" w:rsidRDefault="0020438F" w:rsidP="0020438F">
      <w:pPr>
        <w:autoSpaceDE w:val="0"/>
        <w:autoSpaceDN w:val="0"/>
        <w:adjustRightInd w:val="0"/>
        <w:rPr>
          <w:rFonts w:cs="Arial"/>
          <w:b/>
          <w:spacing w:val="-3"/>
        </w:rPr>
      </w:pPr>
    </w:p>
    <w:p w:rsidR="0020438F" w:rsidRDefault="0020438F" w:rsidP="0020438F">
      <w:pPr>
        <w:autoSpaceDE w:val="0"/>
        <w:autoSpaceDN w:val="0"/>
        <w:adjustRightInd w:val="0"/>
        <w:rPr>
          <w:rFonts w:cs="Arial"/>
          <w:b/>
          <w:spacing w:val="-3"/>
        </w:rPr>
      </w:pPr>
    </w:p>
    <w:p w:rsidR="0020438F" w:rsidRPr="0074072E" w:rsidRDefault="0020438F" w:rsidP="0020438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:rsidR="0020438F" w:rsidRPr="0074072E" w:rsidRDefault="0020438F" w:rsidP="0020438F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  <w:r w:rsidRPr="0074072E">
        <w:rPr>
          <w:rFonts w:cs="Arial"/>
          <w:spacing w:val="-3"/>
          <w:lang w:val="es-ES_tradnl"/>
        </w:rPr>
        <w:t xml:space="preserve"> (Lugar, fecha y firma)</w:t>
      </w:r>
    </w:p>
    <w:p w:rsidR="0020438F" w:rsidRPr="0074072E" w:rsidRDefault="0020438F" w:rsidP="0020438F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cs="Arial"/>
          <w:spacing w:val="-3"/>
        </w:rPr>
      </w:pPr>
      <w:r w:rsidRPr="0074072E">
        <w:rPr>
          <w:rFonts w:cs="Arial"/>
          <w:spacing w:val="-3"/>
        </w:rPr>
        <w:t>Sr. Presidente de la Mesa Central de Contratación de la</w:t>
      </w:r>
      <w:r w:rsidRPr="0074072E">
        <w:rPr>
          <w:rFonts w:cs="Arial"/>
          <w:i/>
          <w:spacing w:val="-3"/>
        </w:rPr>
        <w:t xml:space="preserve"> Empresa de Transformación</w:t>
      </w:r>
      <w:r>
        <w:rPr>
          <w:rFonts w:cs="Arial"/>
          <w:i/>
          <w:spacing w:val="-3"/>
        </w:rPr>
        <w:t xml:space="preserve"> Agraria, S.A., S.M.E., M.P., </w:t>
      </w:r>
    </w:p>
    <w:p w:rsidR="0020438F" w:rsidRPr="0074072E" w:rsidRDefault="0020438F" w:rsidP="0020438F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cs="Arial"/>
          <w:spacing w:val="-3"/>
          <w:sz w:val="16"/>
          <w:szCs w:val="16"/>
        </w:rPr>
      </w:pPr>
      <w:r w:rsidRPr="0074072E">
        <w:rPr>
          <w:rFonts w:ascii="Calibri" w:eastAsia="Calibri" w:hAnsi="Calibr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electrónicos de comprobación consignados deberán ser de libre acceso y gratuitos </w:t>
      </w:r>
    </w:p>
    <w:p w:rsidR="0020438F" w:rsidRDefault="0020438F" w:rsidP="005607C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20438F" w:rsidRDefault="0020438F" w:rsidP="005607C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lastRenderedPageBreak/>
        <w:t>ANEXO IV</w:t>
      </w:r>
    </w:p>
    <w:p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:rsidR="0074072E" w:rsidRPr="0074072E" w:rsidRDefault="0074072E" w:rsidP="0074072E">
      <w:pPr>
        <w:rPr>
          <w:rFonts w:cs="Arial"/>
          <w:bCs/>
          <w:szCs w:val="20"/>
          <w:lang w:val="es-ES_tradnl"/>
        </w:rPr>
      </w:pPr>
    </w:p>
    <w:p w:rsidR="0074072E" w:rsidRPr="0093214F" w:rsidRDefault="0089291F" w:rsidP="0074072E">
      <w:pPr>
        <w:autoSpaceDE w:val="0"/>
        <w:autoSpaceDN w:val="0"/>
        <w:adjustRightInd w:val="0"/>
        <w:rPr>
          <w:rFonts w:eastAsia="Calibri" w:cs="Arial"/>
          <w:color w:val="000000"/>
          <w:szCs w:val="20"/>
          <w:lang w:val="es-ES_tradnl" w:eastAsia="en-US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>., M.P., (en acrónimo,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>presentación de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, de los trabajos en virtud del Contrato suscrito entre ambas partes con fecha de....de.. </w:t>
      </w:r>
      <w:proofErr w:type="gramStart"/>
      <w:r w:rsidRPr="0074072E">
        <w:rPr>
          <w:rFonts w:eastAsia="Calibri" w:cs="Arial"/>
          <w:color w:val="000000"/>
          <w:szCs w:val="20"/>
          <w:lang w:val="es-ES_tradnl" w:eastAsia="en-US"/>
        </w:rPr>
        <w:t>de</w:t>
      </w:r>
      <w:proofErr w:type="gram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dos mil..., rec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onociéndose por </w:t>
      </w:r>
      <w:proofErr w:type="spellStart"/>
      <w:r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</w:t>
      </w:r>
      <w:r w:rsidR="009C7694">
        <w:rPr>
          <w:rFonts w:eastAsia="Calibri" w:cs="Arial"/>
          <w:color w:val="000000"/>
          <w:szCs w:val="20"/>
          <w:lang w:val="es-ES_tradnl" w:eastAsia="en-US"/>
        </w:rPr>
        <w:t>el pliego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para la Contratación de </w:t>
      </w:r>
      <w:r w:rsidR="00F30ED9" w:rsidRPr="00F30ED9">
        <w:rPr>
          <w:iCs/>
          <w:szCs w:val="20"/>
        </w:rPr>
        <w:t xml:space="preserve">SUMINISTRO DE MATERIALES PARA ILUMINACIÓN, AUDIOVISUALES Y DETECCIÓN PARA OBRAS DE ADAPTACIÓN DE EDIFICIO PARA CEIP EN MIGUELTURRA (CIUDAD REAL) </w:t>
      </w:r>
      <w:r w:rsidR="00CD69BE" w:rsidRPr="00F30ED9">
        <w:rPr>
          <w:iCs/>
          <w:szCs w:val="20"/>
        </w:rPr>
        <w:t xml:space="preserve"> </w:t>
      </w:r>
      <w:proofErr w:type="spellStart"/>
      <w:r w:rsidR="0074072E" w:rsidRPr="0093214F">
        <w:rPr>
          <w:rFonts w:eastAsia="Calibri" w:cs="Arial"/>
          <w:color w:val="000000"/>
          <w:szCs w:val="20"/>
          <w:lang w:val="es-ES_tradnl" w:eastAsia="en-US"/>
        </w:rPr>
        <w:t>Ref</w:t>
      </w:r>
      <w:proofErr w:type="spellEnd"/>
      <w:r w:rsidR="0074072E" w:rsidRPr="0093214F">
        <w:rPr>
          <w:rFonts w:eastAsia="Calibri" w:cs="Arial"/>
          <w:color w:val="000000"/>
          <w:szCs w:val="20"/>
          <w:lang w:val="es-ES_tradnl" w:eastAsia="en-US"/>
        </w:rPr>
        <w:t xml:space="preserve">: </w:t>
      </w:r>
      <w:r w:rsidR="00B676A1" w:rsidRPr="0093214F">
        <w:rPr>
          <w:iCs/>
          <w:szCs w:val="20"/>
        </w:rPr>
        <w:t>TSA0065</w:t>
      </w:r>
      <w:r w:rsidR="00F30ED9">
        <w:rPr>
          <w:iCs/>
          <w:szCs w:val="20"/>
        </w:rPr>
        <w:t>747</w:t>
      </w:r>
    </w:p>
    <w:p w:rsidR="0074072E" w:rsidRPr="0093214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:rsidR="0074072E" w:rsidRPr="0093214F" w:rsidRDefault="0074072E" w:rsidP="0074072E">
      <w:pPr>
        <w:rPr>
          <w:rFonts w:cs="Arial"/>
          <w:szCs w:val="20"/>
          <w:lang w:val="es-ES_tradnl"/>
        </w:rPr>
      </w:pPr>
      <w:r w:rsidRPr="0093214F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:rsidR="0074072E" w:rsidRPr="0093214F" w:rsidRDefault="0074072E" w:rsidP="0074072E">
      <w:pPr>
        <w:rPr>
          <w:rFonts w:cs="Arial"/>
          <w:szCs w:val="20"/>
          <w:lang w:val="es-ES_tradnl"/>
        </w:rPr>
      </w:pPr>
    </w:p>
    <w:p w:rsidR="0074072E" w:rsidRPr="0074072E" w:rsidRDefault="0074072E" w:rsidP="0074072E">
      <w:pPr>
        <w:tabs>
          <w:tab w:val="left" w:pos="-720"/>
          <w:tab w:val="left" w:pos="7655"/>
        </w:tabs>
        <w:suppressAutoHyphens/>
        <w:rPr>
          <w:rFonts w:eastAsia="Calibri" w:cs="Arial"/>
          <w:iCs/>
          <w:color w:val="000000"/>
          <w:szCs w:val="20"/>
          <w:lang w:val="es-ES_tradnl" w:eastAsia="en-US"/>
        </w:rPr>
      </w:pPr>
      <w:r w:rsidRPr="0093214F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F30ED9">
        <w:rPr>
          <w:rFonts w:eastAsia="Calibri" w:cs="Arial"/>
          <w:color w:val="000000"/>
          <w:szCs w:val="20"/>
          <w:lang w:val="es-ES_tradnl" w:eastAsia="en-US"/>
        </w:rPr>
        <w:t xml:space="preserve">del </w:t>
      </w:r>
      <w:r w:rsidR="00F30ED9" w:rsidRPr="00F30ED9">
        <w:rPr>
          <w:rFonts w:eastAsia="Calibri" w:cs="Arial"/>
          <w:iCs/>
          <w:color w:val="000000"/>
          <w:szCs w:val="20"/>
          <w:lang w:eastAsia="en-US"/>
        </w:rPr>
        <w:t>SUMINISTRO DE MATERIALES PARA ILUMINACIÓN, AUDIOVISUALES Y DETECCIÓN PARA OBRAS DE ADAPTACIÓN DE EDIFICIO PARA CEIP EN MIGUELTURRA (CIUDAD REAL)</w:t>
      </w:r>
      <w:r w:rsidRPr="00F30ED9">
        <w:rPr>
          <w:rFonts w:cs="Arial"/>
          <w:spacing w:val="-3"/>
          <w:szCs w:val="20"/>
        </w:rPr>
        <w:t>”.</w:t>
      </w:r>
      <w:r w:rsidRPr="0093214F">
        <w:rPr>
          <w:rFonts w:cs="Arial"/>
          <w:b/>
          <w:spacing w:val="-3"/>
          <w:szCs w:val="20"/>
        </w:rPr>
        <w:t xml:space="preserve"> </w:t>
      </w:r>
      <w:proofErr w:type="spellStart"/>
      <w:r w:rsidRPr="0093214F">
        <w:rPr>
          <w:rFonts w:eastAsia="Calibri" w:cs="Arial"/>
          <w:color w:val="000000"/>
          <w:szCs w:val="20"/>
          <w:lang w:val="es-ES_tradnl" w:eastAsia="en-US"/>
        </w:rPr>
        <w:t>Ref</w:t>
      </w:r>
      <w:proofErr w:type="spellEnd"/>
      <w:r w:rsidRPr="0093214F">
        <w:rPr>
          <w:rFonts w:eastAsia="Calibri" w:cs="Arial"/>
          <w:color w:val="000000"/>
          <w:szCs w:val="20"/>
          <w:lang w:val="es-ES_tradnl" w:eastAsia="en-US"/>
        </w:rPr>
        <w:t xml:space="preserve">: </w:t>
      </w:r>
      <w:r w:rsidR="00B676A1" w:rsidRPr="0093214F">
        <w:rPr>
          <w:iCs/>
          <w:szCs w:val="20"/>
        </w:rPr>
        <w:t>TSA006</w:t>
      </w:r>
      <w:r w:rsidR="0093214F" w:rsidRPr="0093214F">
        <w:rPr>
          <w:iCs/>
          <w:szCs w:val="20"/>
        </w:rPr>
        <w:t>574</w:t>
      </w:r>
      <w:r w:rsidR="00F30ED9">
        <w:rPr>
          <w:iCs/>
          <w:szCs w:val="20"/>
        </w:rPr>
        <w:t>7</w:t>
      </w:r>
      <w:r w:rsidRPr="0093214F">
        <w:rPr>
          <w:rFonts w:eastAsia="Calibri" w:cs="Arial"/>
          <w:color w:val="FF0000"/>
          <w:szCs w:val="20"/>
          <w:lang w:val="es-ES_tradnl" w:eastAsia="en-US"/>
        </w:rPr>
        <w:t xml:space="preserve"> </w:t>
      </w:r>
      <w:r w:rsidRPr="0093214F">
        <w:rPr>
          <w:rFonts w:eastAsia="Calibri" w:cs="Arial"/>
          <w:iCs/>
          <w:color w:val="000000"/>
          <w:szCs w:val="20"/>
          <w:lang w:val="es-ES_tradnl" w:eastAsia="en-US"/>
        </w:rPr>
        <w:t>y en la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legislación vigente, respecto a la existencia de defectos y/o vicios ocultos, </w:t>
      </w:r>
      <w:r w:rsidR="0089291F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:rsidR="0074072E" w:rsidRPr="0074072E" w:rsidRDefault="0074072E" w:rsidP="0074072E">
      <w:pPr>
        <w:rPr>
          <w:rFonts w:cs="Arial"/>
          <w:szCs w:val="20"/>
          <w:lang w:val="es-ES_tradnl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:rsidR="0074072E" w:rsidRPr="003812C4" w:rsidRDefault="0074072E" w:rsidP="0074072E">
      <w:pPr>
        <w:rPr>
          <w:rFonts w:cs="Arial"/>
          <w:iCs/>
          <w:szCs w:val="20"/>
          <w:lang w:val="es-ES_tradnl"/>
        </w:rPr>
      </w:pPr>
    </w:p>
    <w:p w:rsidR="0074072E" w:rsidRPr="003812C4" w:rsidRDefault="0074072E" w:rsidP="0074072E">
      <w:pPr>
        <w:suppressAutoHyphens/>
        <w:rPr>
          <w:rFonts w:cs="Arial"/>
          <w:szCs w:val="20"/>
          <w:lang w:val="es-ES_tradnl"/>
        </w:rPr>
      </w:pPr>
      <w:r w:rsidRPr="003812C4">
        <w:rPr>
          <w:rFonts w:cs="Arial"/>
          <w:szCs w:val="20"/>
          <w:lang w:val="es-ES_tradnl"/>
        </w:rPr>
        <w:t>POR LA ADJUDICATARIA                                                                           POR TRAGSA</w:t>
      </w:r>
    </w:p>
    <w:p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sectPr w:rsidR="0074072E" w:rsidRPr="0074072E" w:rsidSect="002334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2126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49" w:rsidRDefault="00FE6549" w:rsidP="00B210B5">
      <w:r>
        <w:separator/>
      </w:r>
    </w:p>
  </w:endnote>
  <w:endnote w:type="continuationSeparator" w:id="0">
    <w:p w:rsidR="00FE6549" w:rsidRDefault="00FE6549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49" w:rsidRPr="0014387C" w:rsidRDefault="00FE6549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9F376B">
      <w:rPr>
        <w:rFonts w:eastAsia="Calibri"/>
        <w:bCs/>
        <w:noProof/>
        <w:sz w:val="18"/>
        <w:szCs w:val="18"/>
        <w:lang w:eastAsia="en-US"/>
      </w:rPr>
      <w:t>2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9F376B">
      <w:rPr>
        <w:rFonts w:eastAsia="Calibri"/>
        <w:bCs/>
        <w:noProof/>
        <w:sz w:val="18"/>
        <w:szCs w:val="18"/>
        <w:lang w:eastAsia="en-US"/>
      </w:rPr>
      <w:t>17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:rsidR="00FE6549" w:rsidRPr="0014387C" w:rsidRDefault="00FE6549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49" w:rsidRPr="008A35A6" w:rsidRDefault="00FE6549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36980148" wp14:editId="0075F6CF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49" w:rsidRDefault="00FE6549" w:rsidP="00B210B5">
      <w:r>
        <w:separator/>
      </w:r>
    </w:p>
  </w:footnote>
  <w:footnote w:type="continuationSeparator" w:id="0">
    <w:p w:rsidR="00FE6549" w:rsidRDefault="00FE6549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49" w:rsidRDefault="00FE6549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98DA779" wp14:editId="2A5EB423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315AC4" wp14:editId="1673BF96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762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49" w:rsidRPr="00306929" w:rsidRDefault="00FE6549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89A1AD" wp14:editId="480C4EED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B3CB54A" wp14:editId="03038D89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597658" wp14:editId="151DE2F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6F7EB1A6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D7921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45B05"/>
    <w:multiLevelType w:val="hybridMultilevel"/>
    <w:tmpl w:val="3560F2CA"/>
    <w:lvl w:ilvl="0" w:tplc="FE7C8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D471D4F"/>
    <w:multiLevelType w:val="multilevel"/>
    <w:tmpl w:val="742E9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3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10E9D"/>
    <w:multiLevelType w:val="hybridMultilevel"/>
    <w:tmpl w:val="1468428C"/>
    <w:lvl w:ilvl="0" w:tplc="0C0A000F">
      <w:start w:val="1"/>
      <w:numFmt w:val="decimal"/>
      <w:lvlText w:val="%1."/>
      <w:lvlJc w:val="left"/>
      <w:pPr>
        <w:ind w:left="1022" w:hanging="360"/>
      </w:pPr>
    </w:lvl>
    <w:lvl w:ilvl="1" w:tplc="0C0A0019">
      <w:start w:val="1"/>
      <w:numFmt w:val="lowerLetter"/>
      <w:lvlText w:val="%2."/>
      <w:lvlJc w:val="left"/>
      <w:pPr>
        <w:ind w:left="1742" w:hanging="360"/>
      </w:pPr>
    </w:lvl>
    <w:lvl w:ilvl="2" w:tplc="0C0A001B">
      <w:start w:val="1"/>
      <w:numFmt w:val="lowerRoman"/>
      <w:lvlText w:val="%3."/>
      <w:lvlJc w:val="right"/>
      <w:pPr>
        <w:ind w:left="2462" w:hanging="180"/>
      </w:pPr>
    </w:lvl>
    <w:lvl w:ilvl="3" w:tplc="0C0A000F" w:tentative="1">
      <w:start w:val="1"/>
      <w:numFmt w:val="decimal"/>
      <w:lvlText w:val="%4."/>
      <w:lvlJc w:val="left"/>
      <w:pPr>
        <w:ind w:left="3182" w:hanging="360"/>
      </w:pPr>
    </w:lvl>
    <w:lvl w:ilvl="4" w:tplc="0C0A0019" w:tentative="1">
      <w:start w:val="1"/>
      <w:numFmt w:val="lowerLetter"/>
      <w:lvlText w:val="%5."/>
      <w:lvlJc w:val="left"/>
      <w:pPr>
        <w:ind w:left="3902" w:hanging="360"/>
      </w:pPr>
    </w:lvl>
    <w:lvl w:ilvl="5" w:tplc="0C0A001B" w:tentative="1">
      <w:start w:val="1"/>
      <w:numFmt w:val="lowerRoman"/>
      <w:lvlText w:val="%6."/>
      <w:lvlJc w:val="right"/>
      <w:pPr>
        <w:ind w:left="4622" w:hanging="180"/>
      </w:pPr>
    </w:lvl>
    <w:lvl w:ilvl="6" w:tplc="0C0A000F" w:tentative="1">
      <w:start w:val="1"/>
      <w:numFmt w:val="decimal"/>
      <w:lvlText w:val="%7."/>
      <w:lvlJc w:val="left"/>
      <w:pPr>
        <w:ind w:left="5342" w:hanging="360"/>
      </w:pPr>
    </w:lvl>
    <w:lvl w:ilvl="7" w:tplc="0C0A0019" w:tentative="1">
      <w:start w:val="1"/>
      <w:numFmt w:val="lowerLetter"/>
      <w:lvlText w:val="%8."/>
      <w:lvlJc w:val="left"/>
      <w:pPr>
        <w:ind w:left="6062" w:hanging="360"/>
      </w:pPr>
    </w:lvl>
    <w:lvl w:ilvl="8" w:tplc="0C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5FFD47D5"/>
    <w:multiLevelType w:val="hybridMultilevel"/>
    <w:tmpl w:val="F60CE4C8"/>
    <w:lvl w:ilvl="0" w:tplc="CE7CE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9">
    <w:nsid w:val="60C5241F"/>
    <w:multiLevelType w:val="hybridMultilevel"/>
    <w:tmpl w:val="EF2E3704"/>
    <w:lvl w:ilvl="0" w:tplc="2C3412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334976"/>
    <w:multiLevelType w:val="hybridMultilevel"/>
    <w:tmpl w:val="33244406"/>
    <w:lvl w:ilvl="0" w:tplc="17E628A8">
      <w:start w:val="2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3997D24"/>
    <w:multiLevelType w:val="hybridMultilevel"/>
    <w:tmpl w:val="28C0A62A"/>
    <w:lvl w:ilvl="0" w:tplc="E430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B3D8B"/>
    <w:multiLevelType w:val="hybridMultilevel"/>
    <w:tmpl w:val="385A3D7E"/>
    <w:lvl w:ilvl="0" w:tplc="120E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75612"/>
    <w:multiLevelType w:val="hybridMultilevel"/>
    <w:tmpl w:val="F1A26A30"/>
    <w:lvl w:ilvl="0" w:tplc="C2F853FA">
      <w:start w:val="4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">
    <w:nsid w:val="7929644F"/>
    <w:multiLevelType w:val="hybridMultilevel"/>
    <w:tmpl w:val="E9923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20"/>
  </w:num>
  <w:num w:numId="8">
    <w:abstractNumId w:val="25"/>
  </w:num>
  <w:num w:numId="9">
    <w:abstractNumId w:val="12"/>
  </w:num>
  <w:num w:numId="10">
    <w:abstractNumId w:val="17"/>
  </w:num>
  <w:num w:numId="11">
    <w:abstractNumId w:val="18"/>
  </w:num>
  <w:num w:numId="12">
    <w:abstractNumId w:val="26"/>
  </w:num>
  <w:num w:numId="13">
    <w:abstractNumId w:val="3"/>
  </w:num>
  <w:num w:numId="14">
    <w:abstractNumId w:val="0"/>
  </w:num>
  <w:num w:numId="15">
    <w:abstractNumId w:val="23"/>
  </w:num>
  <w:num w:numId="16">
    <w:abstractNumId w:val="22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21"/>
  </w:num>
  <w:num w:numId="22">
    <w:abstractNumId w:val="6"/>
  </w:num>
  <w:num w:numId="23">
    <w:abstractNumId w:val="15"/>
  </w:num>
  <w:num w:numId="24">
    <w:abstractNumId w:val="4"/>
  </w:num>
  <w:num w:numId="25">
    <w:abstractNumId w:val="16"/>
  </w:num>
  <w:num w:numId="26">
    <w:abstractNumId w:val="10"/>
  </w:num>
  <w:num w:numId="27">
    <w:abstractNumId w:val="7"/>
  </w:num>
  <w:num w:numId="28">
    <w:abstractNumId w:val="19"/>
  </w:num>
  <w:num w:numId="2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141A"/>
    <w:rsid w:val="00025D89"/>
    <w:rsid w:val="00066D65"/>
    <w:rsid w:val="000673E1"/>
    <w:rsid w:val="00072B9F"/>
    <w:rsid w:val="00082A2A"/>
    <w:rsid w:val="00086A04"/>
    <w:rsid w:val="00093CC5"/>
    <w:rsid w:val="000A0839"/>
    <w:rsid w:val="000B03F4"/>
    <w:rsid w:val="000C0CAF"/>
    <w:rsid w:val="000C6F24"/>
    <w:rsid w:val="000D1C59"/>
    <w:rsid w:val="000D5AF3"/>
    <w:rsid w:val="000E69DD"/>
    <w:rsid w:val="000F0EF8"/>
    <w:rsid w:val="000F14EA"/>
    <w:rsid w:val="001027C8"/>
    <w:rsid w:val="00103923"/>
    <w:rsid w:val="00104AE7"/>
    <w:rsid w:val="001215F3"/>
    <w:rsid w:val="00123F46"/>
    <w:rsid w:val="00136181"/>
    <w:rsid w:val="0014387C"/>
    <w:rsid w:val="0015146D"/>
    <w:rsid w:val="0015328F"/>
    <w:rsid w:val="00154472"/>
    <w:rsid w:val="001552B0"/>
    <w:rsid w:val="0015682F"/>
    <w:rsid w:val="00162CFD"/>
    <w:rsid w:val="00165121"/>
    <w:rsid w:val="00171046"/>
    <w:rsid w:val="0017466B"/>
    <w:rsid w:val="00181EF7"/>
    <w:rsid w:val="001912C0"/>
    <w:rsid w:val="001A197D"/>
    <w:rsid w:val="001A2F6C"/>
    <w:rsid w:val="001A5AB3"/>
    <w:rsid w:val="001A6660"/>
    <w:rsid w:val="001A7516"/>
    <w:rsid w:val="001A77BB"/>
    <w:rsid w:val="001C3E59"/>
    <w:rsid w:val="001D0DD4"/>
    <w:rsid w:val="001D1312"/>
    <w:rsid w:val="001D55C0"/>
    <w:rsid w:val="001E08A9"/>
    <w:rsid w:val="001E15E7"/>
    <w:rsid w:val="001E38DE"/>
    <w:rsid w:val="001F0A75"/>
    <w:rsid w:val="001F454B"/>
    <w:rsid w:val="0020438F"/>
    <w:rsid w:val="00211BC8"/>
    <w:rsid w:val="0022620B"/>
    <w:rsid w:val="002334D4"/>
    <w:rsid w:val="00235DCD"/>
    <w:rsid w:val="002507D7"/>
    <w:rsid w:val="00257358"/>
    <w:rsid w:val="00267889"/>
    <w:rsid w:val="0027288B"/>
    <w:rsid w:val="0027326D"/>
    <w:rsid w:val="00276497"/>
    <w:rsid w:val="00283383"/>
    <w:rsid w:val="00283C7D"/>
    <w:rsid w:val="00295546"/>
    <w:rsid w:val="002A5AF2"/>
    <w:rsid w:val="002B50C2"/>
    <w:rsid w:val="002C5578"/>
    <w:rsid w:val="002D4277"/>
    <w:rsid w:val="002D664E"/>
    <w:rsid w:val="002E27C4"/>
    <w:rsid w:val="002E419E"/>
    <w:rsid w:val="002E7577"/>
    <w:rsid w:val="002F3DB4"/>
    <w:rsid w:val="002F7DD4"/>
    <w:rsid w:val="003038D1"/>
    <w:rsid w:val="00306929"/>
    <w:rsid w:val="0031704E"/>
    <w:rsid w:val="00321993"/>
    <w:rsid w:val="00362FB8"/>
    <w:rsid w:val="00363481"/>
    <w:rsid w:val="003668AC"/>
    <w:rsid w:val="003676E8"/>
    <w:rsid w:val="00371D54"/>
    <w:rsid w:val="00372894"/>
    <w:rsid w:val="003738FA"/>
    <w:rsid w:val="003812C4"/>
    <w:rsid w:val="00382312"/>
    <w:rsid w:val="00387F41"/>
    <w:rsid w:val="003917A1"/>
    <w:rsid w:val="003A1E19"/>
    <w:rsid w:val="003A7DF8"/>
    <w:rsid w:val="003B0D16"/>
    <w:rsid w:val="003B14F5"/>
    <w:rsid w:val="003C1185"/>
    <w:rsid w:val="003E32EF"/>
    <w:rsid w:val="003F24D5"/>
    <w:rsid w:val="00400B3F"/>
    <w:rsid w:val="0040282A"/>
    <w:rsid w:val="0040693B"/>
    <w:rsid w:val="00407369"/>
    <w:rsid w:val="00415954"/>
    <w:rsid w:val="0043271D"/>
    <w:rsid w:val="00440CF7"/>
    <w:rsid w:val="00486901"/>
    <w:rsid w:val="00494E6A"/>
    <w:rsid w:val="0049593B"/>
    <w:rsid w:val="004A0E38"/>
    <w:rsid w:val="004A5D01"/>
    <w:rsid w:val="004D67C1"/>
    <w:rsid w:val="004E030A"/>
    <w:rsid w:val="004E0AB7"/>
    <w:rsid w:val="00505366"/>
    <w:rsid w:val="00516B7C"/>
    <w:rsid w:val="00516D3C"/>
    <w:rsid w:val="00545DA1"/>
    <w:rsid w:val="005467A2"/>
    <w:rsid w:val="005526A2"/>
    <w:rsid w:val="005607CE"/>
    <w:rsid w:val="00562A0C"/>
    <w:rsid w:val="0056358D"/>
    <w:rsid w:val="0056451B"/>
    <w:rsid w:val="00567BD6"/>
    <w:rsid w:val="00573BBF"/>
    <w:rsid w:val="005770D3"/>
    <w:rsid w:val="00581323"/>
    <w:rsid w:val="00592E57"/>
    <w:rsid w:val="005A0004"/>
    <w:rsid w:val="005A03A8"/>
    <w:rsid w:val="005A2220"/>
    <w:rsid w:val="005A7693"/>
    <w:rsid w:val="005B68CA"/>
    <w:rsid w:val="005D30AA"/>
    <w:rsid w:val="005F431E"/>
    <w:rsid w:val="005F49E4"/>
    <w:rsid w:val="005F4FF2"/>
    <w:rsid w:val="00600E6A"/>
    <w:rsid w:val="006020E5"/>
    <w:rsid w:val="00637419"/>
    <w:rsid w:val="00647DB8"/>
    <w:rsid w:val="006638B2"/>
    <w:rsid w:val="006645E9"/>
    <w:rsid w:val="00671E19"/>
    <w:rsid w:val="00685C29"/>
    <w:rsid w:val="00690698"/>
    <w:rsid w:val="006956F8"/>
    <w:rsid w:val="00695D01"/>
    <w:rsid w:val="006A4782"/>
    <w:rsid w:val="006C05A0"/>
    <w:rsid w:val="006C2253"/>
    <w:rsid w:val="006C299C"/>
    <w:rsid w:val="006D7556"/>
    <w:rsid w:val="0070345D"/>
    <w:rsid w:val="00710967"/>
    <w:rsid w:val="00713565"/>
    <w:rsid w:val="00727669"/>
    <w:rsid w:val="00727DB3"/>
    <w:rsid w:val="007302C8"/>
    <w:rsid w:val="00731D65"/>
    <w:rsid w:val="00733E2C"/>
    <w:rsid w:val="00736D64"/>
    <w:rsid w:val="0074072E"/>
    <w:rsid w:val="007435E1"/>
    <w:rsid w:val="00744048"/>
    <w:rsid w:val="00751033"/>
    <w:rsid w:val="007551CC"/>
    <w:rsid w:val="007725A0"/>
    <w:rsid w:val="007736B8"/>
    <w:rsid w:val="00782F15"/>
    <w:rsid w:val="00793BF8"/>
    <w:rsid w:val="00795739"/>
    <w:rsid w:val="007A5E76"/>
    <w:rsid w:val="007B5439"/>
    <w:rsid w:val="007C42B5"/>
    <w:rsid w:val="007C5418"/>
    <w:rsid w:val="007D023B"/>
    <w:rsid w:val="007D7BDB"/>
    <w:rsid w:val="007E35C5"/>
    <w:rsid w:val="007F2106"/>
    <w:rsid w:val="00800CA7"/>
    <w:rsid w:val="00820AAD"/>
    <w:rsid w:val="00820F30"/>
    <w:rsid w:val="00842ED4"/>
    <w:rsid w:val="008512A9"/>
    <w:rsid w:val="0085206A"/>
    <w:rsid w:val="00854A8D"/>
    <w:rsid w:val="00860D7D"/>
    <w:rsid w:val="0086422C"/>
    <w:rsid w:val="008676DA"/>
    <w:rsid w:val="00867B6C"/>
    <w:rsid w:val="00892773"/>
    <w:rsid w:val="0089291F"/>
    <w:rsid w:val="00894227"/>
    <w:rsid w:val="008A35A6"/>
    <w:rsid w:val="008B7234"/>
    <w:rsid w:val="008D5858"/>
    <w:rsid w:val="008D6E07"/>
    <w:rsid w:val="008D7E55"/>
    <w:rsid w:val="008E36D0"/>
    <w:rsid w:val="008E488A"/>
    <w:rsid w:val="008F1CCF"/>
    <w:rsid w:val="008F3036"/>
    <w:rsid w:val="008F61D3"/>
    <w:rsid w:val="00925E36"/>
    <w:rsid w:val="00927503"/>
    <w:rsid w:val="00927B29"/>
    <w:rsid w:val="0093214F"/>
    <w:rsid w:val="0095185B"/>
    <w:rsid w:val="009721CF"/>
    <w:rsid w:val="009722D7"/>
    <w:rsid w:val="0098135D"/>
    <w:rsid w:val="00986EB4"/>
    <w:rsid w:val="009A16E8"/>
    <w:rsid w:val="009A469C"/>
    <w:rsid w:val="009B0936"/>
    <w:rsid w:val="009C7694"/>
    <w:rsid w:val="009D25B3"/>
    <w:rsid w:val="009E15E1"/>
    <w:rsid w:val="009F2C87"/>
    <w:rsid w:val="009F376B"/>
    <w:rsid w:val="009F51B4"/>
    <w:rsid w:val="00A01BDD"/>
    <w:rsid w:val="00A0265D"/>
    <w:rsid w:val="00A06489"/>
    <w:rsid w:val="00A06AE9"/>
    <w:rsid w:val="00A120B1"/>
    <w:rsid w:val="00A1343F"/>
    <w:rsid w:val="00A202FB"/>
    <w:rsid w:val="00A236E6"/>
    <w:rsid w:val="00A30C55"/>
    <w:rsid w:val="00A40A92"/>
    <w:rsid w:val="00A41A4A"/>
    <w:rsid w:val="00A45D43"/>
    <w:rsid w:val="00A60396"/>
    <w:rsid w:val="00A60EE9"/>
    <w:rsid w:val="00A6775B"/>
    <w:rsid w:val="00A73EE2"/>
    <w:rsid w:val="00A75463"/>
    <w:rsid w:val="00A841AE"/>
    <w:rsid w:val="00A84A3F"/>
    <w:rsid w:val="00A858F9"/>
    <w:rsid w:val="00A87271"/>
    <w:rsid w:val="00A96CCC"/>
    <w:rsid w:val="00AA66BB"/>
    <w:rsid w:val="00AB010B"/>
    <w:rsid w:val="00AD0185"/>
    <w:rsid w:val="00AD2734"/>
    <w:rsid w:val="00AD3B12"/>
    <w:rsid w:val="00AD64CB"/>
    <w:rsid w:val="00AE1958"/>
    <w:rsid w:val="00AE27FF"/>
    <w:rsid w:val="00AE4CC0"/>
    <w:rsid w:val="00AF64F4"/>
    <w:rsid w:val="00B179BA"/>
    <w:rsid w:val="00B206C5"/>
    <w:rsid w:val="00B210B5"/>
    <w:rsid w:val="00B2385C"/>
    <w:rsid w:val="00B27C10"/>
    <w:rsid w:val="00B320FB"/>
    <w:rsid w:val="00B42999"/>
    <w:rsid w:val="00B43586"/>
    <w:rsid w:val="00B6298A"/>
    <w:rsid w:val="00B676A1"/>
    <w:rsid w:val="00B73F19"/>
    <w:rsid w:val="00B76C97"/>
    <w:rsid w:val="00B8199F"/>
    <w:rsid w:val="00B878A6"/>
    <w:rsid w:val="00B96365"/>
    <w:rsid w:val="00BA0B83"/>
    <w:rsid w:val="00BA2CE0"/>
    <w:rsid w:val="00BA59D2"/>
    <w:rsid w:val="00BA5D1C"/>
    <w:rsid w:val="00BB027C"/>
    <w:rsid w:val="00BC3B18"/>
    <w:rsid w:val="00BD4D7E"/>
    <w:rsid w:val="00BE46C9"/>
    <w:rsid w:val="00BF0C97"/>
    <w:rsid w:val="00BF1F59"/>
    <w:rsid w:val="00BF51C1"/>
    <w:rsid w:val="00C21678"/>
    <w:rsid w:val="00C22A2F"/>
    <w:rsid w:val="00C34917"/>
    <w:rsid w:val="00C3637A"/>
    <w:rsid w:val="00C52D2E"/>
    <w:rsid w:val="00C5322B"/>
    <w:rsid w:val="00C670F4"/>
    <w:rsid w:val="00C67BC7"/>
    <w:rsid w:val="00C72CC1"/>
    <w:rsid w:val="00C824CA"/>
    <w:rsid w:val="00CB2709"/>
    <w:rsid w:val="00CB5566"/>
    <w:rsid w:val="00CC083E"/>
    <w:rsid w:val="00CC6672"/>
    <w:rsid w:val="00CD06B6"/>
    <w:rsid w:val="00CD48E6"/>
    <w:rsid w:val="00CD4CF2"/>
    <w:rsid w:val="00CD69BE"/>
    <w:rsid w:val="00CF3801"/>
    <w:rsid w:val="00CF77E5"/>
    <w:rsid w:val="00D05537"/>
    <w:rsid w:val="00D15E41"/>
    <w:rsid w:val="00D26850"/>
    <w:rsid w:val="00D35CE1"/>
    <w:rsid w:val="00D405A5"/>
    <w:rsid w:val="00D520CA"/>
    <w:rsid w:val="00D60095"/>
    <w:rsid w:val="00D640D7"/>
    <w:rsid w:val="00D73FC2"/>
    <w:rsid w:val="00D82AEC"/>
    <w:rsid w:val="00D84021"/>
    <w:rsid w:val="00D84BC7"/>
    <w:rsid w:val="00D85444"/>
    <w:rsid w:val="00DA2647"/>
    <w:rsid w:val="00DA3A0E"/>
    <w:rsid w:val="00DA6715"/>
    <w:rsid w:val="00DB0E5F"/>
    <w:rsid w:val="00DB77E8"/>
    <w:rsid w:val="00DB7869"/>
    <w:rsid w:val="00DC2B12"/>
    <w:rsid w:val="00DC4660"/>
    <w:rsid w:val="00DD233D"/>
    <w:rsid w:val="00DD3B03"/>
    <w:rsid w:val="00DD5C36"/>
    <w:rsid w:val="00DE2B1B"/>
    <w:rsid w:val="00DE74FB"/>
    <w:rsid w:val="00DF71AB"/>
    <w:rsid w:val="00E01E08"/>
    <w:rsid w:val="00E10CE6"/>
    <w:rsid w:val="00E31393"/>
    <w:rsid w:val="00E3139A"/>
    <w:rsid w:val="00E31CEF"/>
    <w:rsid w:val="00E31ED9"/>
    <w:rsid w:val="00E32C69"/>
    <w:rsid w:val="00E42B56"/>
    <w:rsid w:val="00E431B4"/>
    <w:rsid w:val="00E436E4"/>
    <w:rsid w:val="00E4633F"/>
    <w:rsid w:val="00E537F0"/>
    <w:rsid w:val="00E5728C"/>
    <w:rsid w:val="00E60CD2"/>
    <w:rsid w:val="00E645DC"/>
    <w:rsid w:val="00E659BF"/>
    <w:rsid w:val="00E72D05"/>
    <w:rsid w:val="00E800E1"/>
    <w:rsid w:val="00E87D98"/>
    <w:rsid w:val="00EA418F"/>
    <w:rsid w:val="00EA4358"/>
    <w:rsid w:val="00EA59C7"/>
    <w:rsid w:val="00EC2C6C"/>
    <w:rsid w:val="00EC2CBE"/>
    <w:rsid w:val="00EC2D0F"/>
    <w:rsid w:val="00EC630A"/>
    <w:rsid w:val="00ED2517"/>
    <w:rsid w:val="00EE082A"/>
    <w:rsid w:val="00F1716D"/>
    <w:rsid w:val="00F216AF"/>
    <w:rsid w:val="00F22856"/>
    <w:rsid w:val="00F246A6"/>
    <w:rsid w:val="00F268E7"/>
    <w:rsid w:val="00F30ED9"/>
    <w:rsid w:val="00F44C9D"/>
    <w:rsid w:val="00F469C2"/>
    <w:rsid w:val="00F608A4"/>
    <w:rsid w:val="00F644E9"/>
    <w:rsid w:val="00F8173E"/>
    <w:rsid w:val="00F959A6"/>
    <w:rsid w:val="00FB1A9C"/>
    <w:rsid w:val="00FB384B"/>
    <w:rsid w:val="00FB4F7F"/>
    <w:rsid w:val="00FC217E"/>
    <w:rsid w:val="00FD1BAF"/>
    <w:rsid w:val="00FD28FF"/>
    <w:rsid w:val="00FD3FDF"/>
    <w:rsid w:val="00FD724E"/>
    <w:rsid w:val="00FE4724"/>
    <w:rsid w:val="00FE6549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65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sz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65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sz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FD07-686C-4881-864F-382A67B6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CARTA.dot</Template>
  <TotalTime>0</TotalTime>
  <Pages>17</Pages>
  <Words>4440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28805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2018-04-26T16:33:00Z</dcterms:created>
  <dcterms:modified xsi:type="dcterms:W3CDTF">2018-04-27T05:55:00Z</dcterms:modified>
</cp:coreProperties>
</file>