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87" w:rsidRDefault="001160E0" w:rsidP="00562087">
      <w:pPr>
        <w:pStyle w:val="TRAGSANORMAL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INFORME DE </w:t>
      </w:r>
      <w:r w:rsidR="00135E0B">
        <w:rPr>
          <w:rFonts w:ascii="Arial" w:hAnsi="Arial" w:cs="Arial"/>
          <w:b/>
          <w:sz w:val="22"/>
          <w:szCs w:val="22"/>
        </w:rPr>
        <w:t xml:space="preserve">APROBACIÓN DE LA VALORACIÓN REALIZADA SOBRE LOS CRITERIOS CUYA  PONDERACIÓN DEPENDE </w:t>
      </w:r>
      <w:r w:rsidR="00B839AF">
        <w:rPr>
          <w:rFonts w:ascii="Arial" w:hAnsi="Arial" w:cs="Arial"/>
          <w:b/>
          <w:sz w:val="22"/>
          <w:szCs w:val="22"/>
        </w:rPr>
        <w:t>DE UN JUICIO</w:t>
      </w:r>
      <w:r w:rsidR="00135E0B">
        <w:rPr>
          <w:rFonts w:ascii="Arial" w:hAnsi="Arial" w:cs="Arial"/>
          <w:b/>
          <w:sz w:val="22"/>
          <w:szCs w:val="22"/>
        </w:rPr>
        <w:t xml:space="preserve"> DE VALOR</w:t>
      </w:r>
      <w:r>
        <w:rPr>
          <w:rFonts w:ascii="Arial" w:hAnsi="Arial" w:cs="Arial"/>
          <w:b/>
          <w:sz w:val="22"/>
          <w:szCs w:val="22"/>
        </w:rPr>
        <w:t xml:space="preserve"> PARA LA</w:t>
      </w:r>
      <w:r w:rsidR="00562087" w:rsidRPr="00562087">
        <w:rPr>
          <w:rFonts w:ascii="Arial" w:hAnsi="Arial" w:cs="Arial"/>
          <w:b/>
          <w:sz w:val="22"/>
          <w:szCs w:val="22"/>
        </w:rPr>
        <w:t xml:space="preserve"> CONTRATACIÓN DE</w:t>
      </w:r>
      <w:r w:rsidR="00135E0B">
        <w:rPr>
          <w:rFonts w:ascii="Arial" w:hAnsi="Arial" w:cs="Arial"/>
          <w:b/>
          <w:sz w:val="22"/>
          <w:szCs w:val="22"/>
        </w:rPr>
        <w:t>L</w:t>
      </w:r>
      <w:r w:rsidR="00562087" w:rsidRPr="00562087">
        <w:rPr>
          <w:rFonts w:ascii="Arial" w:hAnsi="Arial" w:cs="Arial"/>
          <w:b/>
          <w:sz w:val="22"/>
          <w:szCs w:val="22"/>
        </w:rPr>
        <w:t xml:space="preserve"> </w:t>
      </w:r>
      <w:r w:rsidR="00562087" w:rsidRPr="00562087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bookmarkStart w:id="0" w:name="titulo"/>
      <w:bookmarkEnd w:id="0"/>
      <w:r w:rsidR="00506EB4">
        <w:rPr>
          <w:rFonts w:ascii="Arial" w:hAnsi="Arial" w:cs="Arial"/>
          <w:b/>
          <w:color w:val="000000" w:themeColor="text1"/>
          <w:sz w:val="22"/>
          <w:szCs w:val="22"/>
        </w:rPr>
        <w:t xml:space="preserve">DISEÑO, FABRICACIÓN, </w:t>
      </w:r>
      <w:r w:rsidR="004F3721" w:rsidRPr="004F3721">
        <w:rPr>
          <w:rFonts w:ascii="Arial" w:hAnsi="Arial" w:cs="Arial"/>
          <w:b/>
          <w:sz w:val="22"/>
          <w:szCs w:val="22"/>
        </w:rPr>
        <w:t xml:space="preserve">SUMINISTRO </w:t>
      </w:r>
      <w:r w:rsidR="00506EB4">
        <w:rPr>
          <w:rFonts w:ascii="Arial" w:hAnsi="Arial" w:cs="Arial"/>
          <w:b/>
          <w:sz w:val="22"/>
          <w:szCs w:val="22"/>
        </w:rPr>
        <w:t xml:space="preserve">Y PUESTA EN MARCHA DE EQUIPO LIMPIARREJAS SOBRE REÍLES CON CONTENEDOR ANEXO PARA LA CREACIÓN DE INFRAESTRUCTURAS DE APOYO AL CONTROL DE LA ESPECIE INVASORA </w:t>
      </w:r>
      <w:r w:rsidR="00506EB4" w:rsidRPr="00506EB4">
        <w:rPr>
          <w:rFonts w:ascii="Arial" w:hAnsi="Arial" w:cs="Arial"/>
          <w:b/>
          <w:sz w:val="22"/>
          <w:szCs w:val="22"/>
        </w:rPr>
        <w:t xml:space="preserve">“EICHHORNIA CRASSIPES” </w:t>
      </w:r>
      <w:r w:rsidR="00506EB4">
        <w:rPr>
          <w:rFonts w:ascii="Arial" w:hAnsi="Arial" w:cs="Arial"/>
          <w:b/>
          <w:sz w:val="22"/>
          <w:szCs w:val="22"/>
        </w:rPr>
        <w:t>EN EL RÍO GUADIANA,</w:t>
      </w:r>
      <w:r w:rsidR="004F3721" w:rsidRPr="004F3721">
        <w:rPr>
          <w:rFonts w:ascii="Arial" w:hAnsi="Arial" w:cs="Arial"/>
          <w:b/>
          <w:sz w:val="22"/>
          <w:szCs w:val="22"/>
        </w:rPr>
        <w:t xml:space="preserve"> </w:t>
      </w:r>
      <w:r w:rsidR="00562087" w:rsidRPr="00562087">
        <w:rPr>
          <w:rFonts w:ascii="Arial" w:hAnsi="Arial" w:cs="Arial"/>
          <w:b/>
          <w:sz w:val="22"/>
          <w:szCs w:val="22"/>
        </w:rPr>
        <w:t>A ADJUDICAR POR PROCEDIMIENTO ABIERTO.</w:t>
      </w:r>
    </w:p>
    <w:p w:rsidR="00AD0A7C" w:rsidRPr="00562087" w:rsidRDefault="00AD0A7C" w:rsidP="00562087">
      <w:pPr>
        <w:pStyle w:val="TRAGSANORMAL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2087" w:rsidRDefault="00562087" w:rsidP="00562087">
      <w:pPr>
        <w:pStyle w:val="TRAGSANORMAL"/>
        <w:rPr>
          <w:rFonts w:ascii="Arial" w:hAnsi="Arial" w:cs="Arial"/>
          <w:b/>
          <w:sz w:val="22"/>
          <w:szCs w:val="22"/>
        </w:rPr>
      </w:pPr>
      <w:r w:rsidRPr="00562087">
        <w:rPr>
          <w:rFonts w:ascii="Arial" w:hAnsi="Arial" w:cs="Arial"/>
          <w:b/>
          <w:sz w:val="22"/>
          <w:szCs w:val="22"/>
        </w:rPr>
        <w:t>REF.: TSA</w:t>
      </w:r>
      <w:r w:rsidR="00506EB4">
        <w:rPr>
          <w:rFonts w:ascii="Arial" w:hAnsi="Arial" w:cs="Arial"/>
          <w:b/>
          <w:sz w:val="22"/>
          <w:szCs w:val="22"/>
        </w:rPr>
        <w:t xml:space="preserve"> 0065650</w:t>
      </w:r>
    </w:p>
    <w:p w:rsidR="00AD0A7C" w:rsidRPr="00AD0A7C" w:rsidRDefault="00AD0A7C" w:rsidP="00562087">
      <w:pPr>
        <w:pStyle w:val="TRAGSANORMAL"/>
        <w:rPr>
          <w:rFonts w:ascii="Arial" w:hAnsi="Arial" w:cs="Arial"/>
          <w:b/>
          <w:sz w:val="22"/>
          <w:szCs w:val="22"/>
        </w:rPr>
      </w:pPr>
    </w:p>
    <w:p w:rsidR="00562087" w:rsidRPr="00C40EA4" w:rsidRDefault="00901FF3" w:rsidP="00562087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C40EA4">
        <w:rPr>
          <w:rFonts w:ascii="Arial" w:hAnsi="Arial" w:cs="Arial"/>
          <w:b/>
          <w:sz w:val="20"/>
          <w:szCs w:val="20"/>
        </w:rPr>
        <w:t>ANTECEDENTE</w:t>
      </w:r>
      <w:r w:rsidR="00D45E4C" w:rsidRPr="00C40EA4">
        <w:rPr>
          <w:rFonts w:ascii="Arial" w:hAnsi="Arial" w:cs="Arial"/>
          <w:b/>
          <w:sz w:val="20"/>
          <w:szCs w:val="20"/>
        </w:rPr>
        <w:t>S</w:t>
      </w:r>
      <w:r w:rsidR="00562087" w:rsidRPr="00C40EA4">
        <w:rPr>
          <w:rFonts w:ascii="Arial" w:hAnsi="Arial" w:cs="Arial"/>
          <w:b/>
          <w:sz w:val="20"/>
          <w:szCs w:val="20"/>
        </w:rPr>
        <w:t>:</w:t>
      </w:r>
    </w:p>
    <w:p w:rsidR="00E02B09" w:rsidRPr="00C40EA4" w:rsidRDefault="00E02B09" w:rsidP="00C40E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2087" w:rsidRPr="00C40EA4" w:rsidRDefault="00901FF3" w:rsidP="00C40EA4">
      <w:pPr>
        <w:pStyle w:val="Prrafodelista"/>
        <w:spacing w:after="0"/>
        <w:ind w:left="284" w:firstLine="436"/>
        <w:jc w:val="both"/>
        <w:rPr>
          <w:rFonts w:ascii="Arial" w:hAnsi="Arial" w:cs="Arial"/>
          <w:sz w:val="20"/>
          <w:szCs w:val="20"/>
        </w:rPr>
      </w:pPr>
      <w:bookmarkStart w:id="1" w:name="objeto"/>
      <w:bookmarkEnd w:id="1"/>
      <w:r w:rsidRPr="00C40EA4">
        <w:rPr>
          <w:rFonts w:ascii="Arial" w:hAnsi="Arial" w:cs="Arial"/>
          <w:sz w:val="20"/>
          <w:szCs w:val="20"/>
        </w:rPr>
        <w:t xml:space="preserve">Con fecha </w:t>
      </w:r>
      <w:r w:rsidR="00D45E4C" w:rsidRPr="00C40EA4">
        <w:rPr>
          <w:rFonts w:ascii="Arial" w:hAnsi="Arial" w:cs="Arial"/>
          <w:sz w:val="20"/>
          <w:szCs w:val="20"/>
        </w:rPr>
        <w:t xml:space="preserve">24 </w:t>
      </w:r>
      <w:r w:rsidR="003502F7" w:rsidRPr="00C40EA4">
        <w:rPr>
          <w:rFonts w:ascii="Arial" w:hAnsi="Arial" w:cs="Arial"/>
          <w:sz w:val="20"/>
          <w:szCs w:val="20"/>
        </w:rPr>
        <w:t>de mayo de 2018 se ha procedido</w:t>
      </w:r>
      <w:r w:rsidRPr="00C40EA4">
        <w:rPr>
          <w:rFonts w:ascii="Arial" w:hAnsi="Arial" w:cs="Arial"/>
          <w:sz w:val="20"/>
          <w:szCs w:val="20"/>
        </w:rPr>
        <w:t xml:space="preserve"> a la apertura del sobre </w:t>
      </w:r>
      <w:r w:rsidR="00C40EA4">
        <w:rPr>
          <w:rFonts w:ascii="Arial" w:hAnsi="Arial" w:cs="Arial"/>
          <w:sz w:val="20"/>
          <w:szCs w:val="20"/>
        </w:rPr>
        <w:t>“</w:t>
      </w:r>
      <w:r w:rsidRPr="00C40EA4">
        <w:rPr>
          <w:rFonts w:ascii="Arial" w:hAnsi="Arial" w:cs="Arial"/>
          <w:sz w:val="20"/>
          <w:szCs w:val="20"/>
        </w:rPr>
        <w:t>A</w:t>
      </w:r>
      <w:r w:rsidR="00C40EA4">
        <w:rPr>
          <w:rFonts w:ascii="Arial" w:hAnsi="Arial" w:cs="Arial"/>
          <w:sz w:val="20"/>
          <w:szCs w:val="20"/>
        </w:rPr>
        <w:t>”</w:t>
      </w:r>
      <w:r w:rsidRPr="00C40EA4">
        <w:rPr>
          <w:rFonts w:ascii="Arial" w:hAnsi="Arial" w:cs="Arial"/>
          <w:sz w:val="20"/>
          <w:szCs w:val="20"/>
        </w:rPr>
        <w:t xml:space="preserve"> de las proposiciones presentadas en el procedimiento de licitación para la contratación del </w:t>
      </w:r>
      <w:r w:rsidR="00506EB4" w:rsidRPr="00C40EA4">
        <w:rPr>
          <w:rFonts w:ascii="Arial" w:hAnsi="Arial" w:cs="Arial"/>
          <w:sz w:val="20"/>
          <w:szCs w:val="20"/>
        </w:rPr>
        <w:t xml:space="preserve">Diseño, fabricación, suministro en obra y puesta en marcha de equipo </w:t>
      </w:r>
      <w:proofErr w:type="spellStart"/>
      <w:r w:rsidR="00506EB4" w:rsidRPr="00C40EA4">
        <w:rPr>
          <w:rFonts w:ascii="Arial" w:hAnsi="Arial" w:cs="Arial"/>
          <w:sz w:val="20"/>
          <w:szCs w:val="20"/>
        </w:rPr>
        <w:t>limpiarrejas</w:t>
      </w:r>
      <w:proofErr w:type="spellEnd"/>
      <w:r w:rsidR="00506EB4" w:rsidRPr="00C40EA4">
        <w:rPr>
          <w:rFonts w:ascii="Arial" w:hAnsi="Arial" w:cs="Arial"/>
          <w:sz w:val="20"/>
          <w:szCs w:val="20"/>
        </w:rPr>
        <w:t xml:space="preserve"> sobre raíles con contenedor anexo para la “Creación de Infraestructuras de apoyo al control de la especie invasora “EICHHORNIA CRASSIPES” en el Río Guadiana. Badajoz”.</w:t>
      </w:r>
    </w:p>
    <w:p w:rsidR="00B839AF" w:rsidRPr="00C40EA4" w:rsidRDefault="00B839AF" w:rsidP="00C40EA4">
      <w:pPr>
        <w:pStyle w:val="Prrafodelista"/>
        <w:spacing w:after="0"/>
        <w:ind w:left="284" w:firstLine="436"/>
        <w:jc w:val="both"/>
        <w:rPr>
          <w:rFonts w:ascii="Arial" w:hAnsi="Arial" w:cs="Arial"/>
          <w:sz w:val="20"/>
          <w:szCs w:val="20"/>
        </w:rPr>
      </w:pPr>
    </w:p>
    <w:p w:rsidR="00B839AF" w:rsidRPr="00C40EA4" w:rsidRDefault="00B839AF" w:rsidP="00C40EA4">
      <w:pPr>
        <w:pStyle w:val="Prrafodelista"/>
        <w:spacing w:after="0"/>
        <w:ind w:left="284" w:firstLine="424"/>
        <w:jc w:val="both"/>
        <w:rPr>
          <w:rFonts w:ascii="Arial" w:hAnsi="Arial" w:cs="Arial"/>
          <w:sz w:val="20"/>
          <w:szCs w:val="20"/>
        </w:rPr>
      </w:pPr>
      <w:r w:rsidRPr="00C40EA4">
        <w:rPr>
          <w:rFonts w:ascii="Arial" w:hAnsi="Arial" w:cs="Arial"/>
          <w:sz w:val="20"/>
          <w:szCs w:val="20"/>
        </w:rPr>
        <w:t>Con fecha 8 de junio, tras el análisis de la documentación del sobre “A” se concluye que solo se admite</w:t>
      </w:r>
      <w:r w:rsidR="009A00B9" w:rsidRPr="00C40EA4">
        <w:rPr>
          <w:rFonts w:ascii="Arial" w:hAnsi="Arial" w:cs="Arial"/>
          <w:sz w:val="20"/>
          <w:szCs w:val="20"/>
        </w:rPr>
        <w:t xml:space="preserve"> a</w:t>
      </w:r>
      <w:r w:rsidRPr="00C40EA4">
        <w:rPr>
          <w:rFonts w:ascii="Arial" w:hAnsi="Arial" w:cs="Arial"/>
          <w:sz w:val="20"/>
          <w:szCs w:val="20"/>
        </w:rPr>
        <w:t xml:space="preserve"> la licitación </w:t>
      </w:r>
      <w:r w:rsidR="00C40EA4">
        <w:rPr>
          <w:rFonts w:ascii="Arial" w:hAnsi="Arial" w:cs="Arial"/>
          <w:sz w:val="20"/>
          <w:szCs w:val="20"/>
        </w:rPr>
        <w:t xml:space="preserve">la oferta </w:t>
      </w:r>
      <w:r w:rsidRPr="00C40EA4">
        <w:rPr>
          <w:rFonts w:ascii="Arial" w:hAnsi="Arial" w:cs="Arial"/>
          <w:sz w:val="20"/>
          <w:szCs w:val="20"/>
        </w:rPr>
        <w:t xml:space="preserve">presentada por </w:t>
      </w:r>
      <w:r w:rsidRPr="00C40EA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INDUSTRIAS METALURGICAS ESGUEVA, S.A.</w:t>
      </w:r>
      <w:r w:rsidRPr="00C40EA4">
        <w:rPr>
          <w:rFonts w:ascii="Arial" w:hAnsi="Arial" w:cs="Arial"/>
          <w:sz w:val="20"/>
          <w:szCs w:val="20"/>
        </w:rPr>
        <w:t>:</w:t>
      </w:r>
    </w:p>
    <w:p w:rsidR="00B839AF" w:rsidRPr="00C40EA4" w:rsidRDefault="00B839AF" w:rsidP="00C40EA4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3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5"/>
        <w:gridCol w:w="1791"/>
      </w:tblGrid>
      <w:tr w:rsidR="00B839AF" w:rsidRPr="00C40EA4" w:rsidTr="00C40EA4">
        <w:trPr>
          <w:jc w:val="center"/>
        </w:trPr>
        <w:tc>
          <w:tcPr>
            <w:tcW w:w="3638" w:type="pct"/>
            <w:tcBorders>
              <w:bottom w:val="single" w:sz="4" w:space="0" w:color="auto"/>
            </w:tcBorders>
          </w:tcPr>
          <w:p w:rsidR="00B839AF" w:rsidRPr="00C40EA4" w:rsidRDefault="00B839AF" w:rsidP="00C40EA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0EA4">
              <w:rPr>
                <w:rFonts w:ascii="Arial" w:hAnsi="Arial" w:cs="Arial"/>
                <w:b/>
                <w:sz w:val="20"/>
                <w:szCs w:val="20"/>
              </w:rPr>
              <w:t>Empresa: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:rsidR="00B839AF" w:rsidRPr="00C40EA4" w:rsidRDefault="00B839AF" w:rsidP="00C40EA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0EA4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B839AF" w:rsidRPr="00C40EA4" w:rsidTr="00C40EA4">
        <w:trPr>
          <w:jc w:val="center"/>
        </w:trPr>
        <w:tc>
          <w:tcPr>
            <w:tcW w:w="3638" w:type="pct"/>
            <w:shd w:val="clear" w:color="auto" w:fill="FFFFFF"/>
            <w:vAlign w:val="center"/>
          </w:tcPr>
          <w:p w:rsidR="00B839AF" w:rsidRPr="00C40EA4" w:rsidRDefault="00B839AF" w:rsidP="00C40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40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METALIZARD, S.L.</w:t>
            </w:r>
          </w:p>
        </w:tc>
        <w:tc>
          <w:tcPr>
            <w:tcW w:w="1362" w:type="pct"/>
            <w:shd w:val="clear" w:color="auto" w:fill="FFFFFF"/>
          </w:tcPr>
          <w:p w:rsidR="00B839AF" w:rsidRPr="00C40EA4" w:rsidRDefault="00B839AF" w:rsidP="00C40EA4">
            <w:pPr>
              <w:spacing w:after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40EA4">
              <w:rPr>
                <w:rFonts w:ascii="Arial" w:eastAsiaTheme="minorHAnsi" w:hAnsi="Arial" w:cs="Arial"/>
                <w:sz w:val="20"/>
                <w:szCs w:val="20"/>
              </w:rPr>
              <w:t xml:space="preserve">NO ADMITIDA </w:t>
            </w:r>
          </w:p>
        </w:tc>
      </w:tr>
      <w:tr w:rsidR="00B839AF" w:rsidRPr="00C40EA4" w:rsidTr="00C40EA4">
        <w:trPr>
          <w:jc w:val="center"/>
        </w:trPr>
        <w:tc>
          <w:tcPr>
            <w:tcW w:w="3638" w:type="pct"/>
            <w:shd w:val="clear" w:color="auto" w:fill="FFFFFF"/>
            <w:vAlign w:val="center"/>
          </w:tcPr>
          <w:p w:rsidR="00B839AF" w:rsidRPr="00C40EA4" w:rsidRDefault="00B839AF" w:rsidP="00C40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40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INDUSTRIAS METALURGICAS ESGUEVA, S.A.</w:t>
            </w:r>
          </w:p>
        </w:tc>
        <w:tc>
          <w:tcPr>
            <w:tcW w:w="1362" w:type="pct"/>
            <w:shd w:val="clear" w:color="auto" w:fill="FFFFFF"/>
          </w:tcPr>
          <w:p w:rsidR="00B839AF" w:rsidRPr="00C40EA4" w:rsidRDefault="00B839AF" w:rsidP="00C40EA4">
            <w:pPr>
              <w:spacing w:after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40EA4">
              <w:rPr>
                <w:rFonts w:ascii="Arial" w:eastAsiaTheme="minorHAnsi" w:hAnsi="Arial" w:cs="Arial"/>
                <w:sz w:val="20"/>
                <w:szCs w:val="20"/>
              </w:rPr>
              <w:t>ADMITIDA</w:t>
            </w:r>
          </w:p>
        </w:tc>
      </w:tr>
    </w:tbl>
    <w:p w:rsidR="00B839AF" w:rsidRPr="00C40EA4" w:rsidRDefault="00B839AF" w:rsidP="00C40EA4">
      <w:pPr>
        <w:pStyle w:val="Prrafodelista"/>
        <w:spacing w:after="0"/>
        <w:ind w:left="284" w:firstLine="436"/>
        <w:jc w:val="both"/>
        <w:rPr>
          <w:rFonts w:ascii="Arial" w:hAnsi="Arial" w:cs="Arial"/>
          <w:strike/>
          <w:sz w:val="20"/>
          <w:szCs w:val="20"/>
        </w:rPr>
      </w:pPr>
    </w:p>
    <w:p w:rsidR="00901FF3" w:rsidRPr="00C40EA4" w:rsidRDefault="009A00B9" w:rsidP="00C40EA4">
      <w:pPr>
        <w:spacing w:after="0"/>
        <w:ind w:left="284" w:firstLine="425"/>
        <w:jc w:val="both"/>
        <w:rPr>
          <w:rFonts w:ascii="Arial" w:hAnsi="Arial" w:cs="Arial"/>
          <w:sz w:val="20"/>
          <w:szCs w:val="20"/>
        </w:rPr>
      </w:pPr>
      <w:r w:rsidRPr="00C40EA4">
        <w:rPr>
          <w:rFonts w:ascii="Arial" w:hAnsi="Arial" w:cs="Arial"/>
          <w:sz w:val="20"/>
          <w:szCs w:val="20"/>
        </w:rPr>
        <w:t>Este mismo día y previa convocatoria</w:t>
      </w:r>
      <w:r w:rsidR="00C40EA4">
        <w:rPr>
          <w:rFonts w:ascii="Arial" w:hAnsi="Arial" w:cs="Arial"/>
          <w:sz w:val="20"/>
          <w:szCs w:val="20"/>
        </w:rPr>
        <w:t xml:space="preserve"> (con antelación a 48 horas)</w:t>
      </w:r>
      <w:r w:rsidRPr="00C40EA4">
        <w:rPr>
          <w:rFonts w:ascii="Arial" w:hAnsi="Arial" w:cs="Arial"/>
          <w:sz w:val="20"/>
          <w:szCs w:val="20"/>
        </w:rPr>
        <w:t xml:space="preserve"> de las empresas licitantes se procede a la apertura del sob</w:t>
      </w:r>
      <w:r w:rsidR="00C40EA4">
        <w:rPr>
          <w:rFonts w:ascii="Arial" w:hAnsi="Arial" w:cs="Arial"/>
          <w:sz w:val="20"/>
          <w:szCs w:val="20"/>
        </w:rPr>
        <w:t>r</w:t>
      </w:r>
      <w:r w:rsidRPr="00C40EA4">
        <w:rPr>
          <w:rFonts w:ascii="Arial" w:hAnsi="Arial" w:cs="Arial"/>
          <w:sz w:val="20"/>
          <w:szCs w:val="20"/>
        </w:rPr>
        <w:t>e “C” de la empresa que ha sido admitida.</w:t>
      </w:r>
    </w:p>
    <w:p w:rsidR="0059607D" w:rsidRDefault="0059607D" w:rsidP="00C40E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0EA4" w:rsidRPr="00C40EA4" w:rsidRDefault="00C40EA4" w:rsidP="00C40E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3E74" w:rsidRPr="00C40EA4" w:rsidRDefault="00253E74" w:rsidP="00562087">
      <w:pPr>
        <w:spacing w:after="0"/>
        <w:rPr>
          <w:rFonts w:ascii="Arial" w:hAnsi="Arial" w:cs="Arial"/>
          <w:sz w:val="20"/>
          <w:szCs w:val="20"/>
        </w:rPr>
      </w:pPr>
    </w:p>
    <w:p w:rsidR="00AD0A7C" w:rsidRPr="00C40EA4" w:rsidRDefault="009A00B9" w:rsidP="00AD0A7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C40EA4">
        <w:rPr>
          <w:rFonts w:ascii="Arial" w:hAnsi="Arial" w:cs="Arial"/>
          <w:b/>
          <w:sz w:val="20"/>
          <w:szCs w:val="20"/>
        </w:rPr>
        <w:t>VALORACIÓN DE LOS CRITERIOS CUYA PONDERACIÓN DEPENDE DE UN JUICIO DE VALOR</w:t>
      </w:r>
      <w:r w:rsidR="00D93A30" w:rsidRPr="00C40EA4">
        <w:rPr>
          <w:rFonts w:ascii="Arial" w:hAnsi="Arial" w:cs="Arial"/>
          <w:b/>
          <w:sz w:val="20"/>
          <w:szCs w:val="20"/>
        </w:rPr>
        <w:t>:</w:t>
      </w:r>
    </w:p>
    <w:p w:rsidR="00E02B09" w:rsidRPr="00C40EA4" w:rsidRDefault="00E02B09" w:rsidP="00C40EA4">
      <w:pPr>
        <w:spacing w:after="0"/>
        <w:rPr>
          <w:rFonts w:ascii="Arial" w:hAnsi="Arial" w:cs="Arial"/>
          <w:b/>
          <w:sz w:val="20"/>
          <w:szCs w:val="20"/>
        </w:rPr>
      </w:pPr>
    </w:p>
    <w:p w:rsidR="009A00B9" w:rsidRPr="00C40EA4" w:rsidRDefault="009A00B9" w:rsidP="009A00B9">
      <w:pPr>
        <w:pStyle w:val="Prrafodelista"/>
        <w:spacing w:after="0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C40EA4">
        <w:rPr>
          <w:rFonts w:ascii="Arial" w:hAnsi="Arial" w:cs="Arial"/>
          <w:sz w:val="20"/>
          <w:szCs w:val="20"/>
        </w:rPr>
        <w:t>En el pliego de este expediente se establecen dos criterios de adjudicación mediante juicio de valor:</w:t>
      </w:r>
    </w:p>
    <w:p w:rsidR="009A00B9" w:rsidRPr="009A00B9" w:rsidRDefault="009A00B9" w:rsidP="009A00B9">
      <w:pPr>
        <w:widowControl w:val="0"/>
        <w:numPr>
          <w:ilvl w:val="0"/>
          <w:numId w:val="7"/>
        </w:numPr>
        <w:tabs>
          <w:tab w:val="left" w:pos="-720"/>
          <w:tab w:val="left" w:pos="42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bCs/>
          <w:color w:val="1D1B11"/>
          <w:sz w:val="20"/>
          <w:szCs w:val="20"/>
          <w:u w:val="single"/>
          <w:lang w:val="es-ES_tradnl"/>
        </w:rPr>
      </w:pPr>
      <w:r w:rsidRPr="009A00B9">
        <w:rPr>
          <w:rFonts w:ascii="Arial" w:hAnsi="Arial" w:cs="Arial"/>
          <w:b/>
          <w:bCs/>
          <w:color w:val="1D1B11"/>
          <w:sz w:val="20"/>
          <w:szCs w:val="20"/>
          <w:lang w:val="es-ES_tradnl"/>
        </w:rPr>
        <w:t>Disposición de modelo de utilidad</w:t>
      </w:r>
      <w:r w:rsidRPr="009A00B9">
        <w:rPr>
          <w:rFonts w:ascii="Arial" w:hAnsi="Arial" w:cs="Arial"/>
          <w:bCs/>
          <w:color w:val="1D1B11"/>
          <w:sz w:val="20"/>
          <w:szCs w:val="20"/>
          <w:lang w:val="es-ES_tradnl"/>
        </w:rPr>
        <w:t xml:space="preserve">: 15 puntos </w:t>
      </w:r>
    </w:p>
    <w:p w:rsidR="009A00B9" w:rsidRPr="009A00B9" w:rsidRDefault="009A00B9" w:rsidP="009A00B9">
      <w:pPr>
        <w:widowControl w:val="0"/>
        <w:tabs>
          <w:tab w:val="left" w:pos="-720"/>
          <w:tab w:val="left" w:pos="426"/>
        </w:tabs>
        <w:suppressAutoHyphens/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Cs/>
          <w:color w:val="1D1B11"/>
          <w:sz w:val="20"/>
          <w:szCs w:val="20"/>
          <w:lang w:val="es-ES_tradnl"/>
        </w:rPr>
      </w:pPr>
      <w:r w:rsidRPr="009A00B9">
        <w:rPr>
          <w:rFonts w:ascii="Arial" w:hAnsi="Arial" w:cs="Arial"/>
          <w:bCs/>
          <w:color w:val="1D1B11"/>
          <w:sz w:val="20"/>
          <w:szCs w:val="20"/>
          <w:lang w:val="es-ES_tradnl"/>
        </w:rPr>
        <w:t xml:space="preserve">Se atribuirán 15 puntos al ofertante que instale equipos que dispongan de Modelo de Utilidad concedido y al corriente de pago, según la Ley de Patentes 11/1986 de 20 de marzo, valorándose con 15 puntos a aquellas empresas que lo presenten. </w:t>
      </w:r>
    </w:p>
    <w:p w:rsidR="009A00B9" w:rsidRPr="009A00B9" w:rsidRDefault="009A00B9" w:rsidP="009A00B9">
      <w:pPr>
        <w:widowControl w:val="0"/>
        <w:tabs>
          <w:tab w:val="left" w:pos="-720"/>
          <w:tab w:val="left" w:pos="426"/>
        </w:tabs>
        <w:suppressAutoHyphens/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Cs/>
          <w:color w:val="1D1B11"/>
          <w:sz w:val="20"/>
          <w:szCs w:val="20"/>
          <w:lang w:val="es-ES_tradnl"/>
        </w:rPr>
      </w:pPr>
    </w:p>
    <w:p w:rsidR="009A00B9" w:rsidRPr="009A00B9" w:rsidRDefault="009A00B9" w:rsidP="009A00B9">
      <w:pPr>
        <w:widowControl w:val="0"/>
        <w:numPr>
          <w:ilvl w:val="0"/>
          <w:numId w:val="7"/>
        </w:numPr>
        <w:tabs>
          <w:tab w:val="left" w:pos="-720"/>
          <w:tab w:val="left" w:pos="42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bCs/>
          <w:color w:val="1D1B11"/>
          <w:sz w:val="20"/>
          <w:szCs w:val="20"/>
          <w:lang w:val="es-ES_tradnl"/>
        </w:rPr>
      </w:pPr>
      <w:r w:rsidRPr="009A00B9">
        <w:rPr>
          <w:rFonts w:ascii="Arial" w:hAnsi="Arial" w:cs="Arial"/>
          <w:b/>
          <w:bCs/>
          <w:color w:val="1D1B11"/>
          <w:sz w:val="20"/>
          <w:szCs w:val="20"/>
          <w:lang w:val="es-ES_tradnl"/>
        </w:rPr>
        <w:lastRenderedPageBreak/>
        <w:t>Certificado de Pyme Innovadora</w:t>
      </w:r>
      <w:r w:rsidRPr="009A00B9">
        <w:rPr>
          <w:rFonts w:ascii="Arial" w:hAnsi="Arial" w:cs="Arial"/>
          <w:bCs/>
          <w:color w:val="1D1B11"/>
          <w:sz w:val="20"/>
          <w:szCs w:val="20"/>
          <w:lang w:val="es-ES_tradnl"/>
        </w:rPr>
        <w:t>: 5 puntos</w:t>
      </w:r>
    </w:p>
    <w:p w:rsidR="009A00B9" w:rsidRPr="009A00B9" w:rsidRDefault="009A00B9" w:rsidP="009A00B9">
      <w:pPr>
        <w:widowControl w:val="0"/>
        <w:tabs>
          <w:tab w:val="left" w:pos="-720"/>
          <w:tab w:val="left" w:pos="426"/>
        </w:tabs>
        <w:suppressAutoHyphens/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Cs/>
          <w:color w:val="1D1B11"/>
          <w:sz w:val="20"/>
          <w:szCs w:val="20"/>
          <w:lang w:val="es-ES_tradnl"/>
        </w:rPr>
      </w:pPr>
      <w:r w:rsidRPr="009A00B9">
        <w:rPr>
          <w:rFonts w:ascii="Arial" w:hAnsi="Arial" w:cs="Arial"/>
          <w:bCs/>
          <w:color w:val="1D1B11"/>
          <w:sz w:val="20"/>
          <w:szCs w:val="20"/>
          <w:lang w:val="es-ES_tradnl"/>
        </w:rPr>
        <w:t>Se atribuirán 5 puntos al ofertante que dispongan de Certificado de PYME INNOVADORA según la Orden ECC/1087/2015, de 5 de junio publicada en el Boletín Oficial del Estado del día 11 de junio, regula la obtención del sello de Pyme innovadora y el funcionamiento del Registro de la Pequeña y Mediana Empresa Innovadora</w:t>
      </w:r>
    </w:p>
    <w:p w:rsidR="009A00B9" w:rsidRPr="00C40EA4" w:rsidRDefault="009A00B9" w:rsidP="00B72511">
      <w:pPr>
        <w:ind w:firstLine="426"/>
        <w:jc w:val="both"/>
        <w:rPr>
          <w:rFonts w:ascii="Arial" w:eastAsiaTheme="minorHAnsi" w:hAnsi="Arial" w:cs="Arial"/>
          <w:sz w:val="20"/>
          <w:szCs w:val="20"/>
          <w:lang w:val="es-ES_tradnl"/>
        </w:rPr>
      </w:pPr>
      <w:r w:rsidRPr="00C40EA4">
        <w:rPr>
          <w:rFonts w:ascii="Arial" w:eastAsiaTheme="minorHAnsi" w:hAnsi="Arial" w:cs="Arial"/>
          <w:sz w:val="20"/>
          <w:szCs w:val="20"/>
          <w:lang w:val="es-ES_tradnl"/>
        </w:rPr>
        <w:t xml:space="preserve">Según se indica en el anejo I deben acreditarse </w:t>
      </w:r>
      <w:r w:rsidR="00C40EA4">
        <w:rPr>
          <w:rFonts w:ascii="Arial" w:eastAsiaTheme="minorHAnsi" w:hAnsi="Arial" w:cs="Arial"/>
          <w:sz w:val="20"/>
          <w:szCs w:val="20"/>
          <w:lang w:val="es-ES_tradnl"/>
        </w:rPr>
        <w:t>dichos</w:t>
      </w:r>
      <w:r w:rsidRPr="00C40EA4">
        <w:rPr>
          <w:rFonts w:ascii="Arial" w:eastAsiaTheme="minorHAnsi" w:hAnsi="Arial" w:cs="Arial"/>
          <w:sz w:val="20"/>
          <w:szCs w:val="20"/>
          <w:lang w:val="es-ES_tradnl"/>
        </w:rPr>
        <w:t xml:space="preserve"> criterios mediante la correspondiente documentación.</w:t>
      </w:r>
    </w:p>
    <w:p w:rsidR="00B72511" w:rsidRPr="00C40EA4" w:rsidRDefault="00013B0C" w:rsidP="00B72511">
      <w:pPr>
        <w:spacing w:after="0"/>
        <w:ind w:firstLine="360"/>
        <w:jc w:val="both"/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C40EA4">
        <w:rPr>
          <w:rFonts w:ascii="Arial" w:hAnsi="Arial" w:cs="Arial"/>
          <w:color w:val="1D1B11" w:themeColor="background2" w:themeShade="1A"/>
          <w:sz w:val="20"/>
          <w:szCs w:val="20"/>
        </w:rPr>
        <w:t>Una vez revisada  por la Unidad promotora,</w:t>
      </w:r>
      <w:r w:rsidR="00B72511" w:rsidRPr="00C40EA4">
        <w:rPr>
          <w:rFonts w:ascii="Arial" w:hAnsi="Arial" w:cs="Arial"/>
          <w:color w:val="1D1B11" w:themeColor="background2" w:themeShade="1A"/>
          <w:sz w:val="20"/>
          <w:szCs w:val="20"/>
        </w:rPr>
        <w:t xml:space="preserve"> Gerencia de Zona de Badajoz, la documentación aportada en el sobre “C” proceden a realizar la puntuación para cada uno de los criterios (se adjunta informe).</w:t>
      </w:r>
    </w:p>
    <w:p w:rsidR="00B72511" w:rsidRPr="00C40EA4" w:rsidRDefault="00B72511" w:rsidP="00013B0C">
      <w:pPr>
        <w:spacing w:after="0"/>
        <w:ind w:firstLine="360"/>
        <w:rPr>
          <w:rFonts w:ascii="Arial" w:hAnsi="Arial" w:cs="Arial"/>
          <w:color w:val="1D1B11" w:themeColor="background2" w:themeShade="1A"/>
          <w:sz w:val="20"/>
          <w:szCs w:val="20"/>
        </w:rPr>
      </w:pPr>
    </w:p>
    <w:p w:rsidR="00B72511" w:rsidRPr="00C40EA4" w:rsidRDefault="00B72511" w:rsidP="00013B0C">
      <w:pPr>
        <w:spacing w:after="0"/>
        <w:ind w:firstLine="360"/>
        <w:rPr>
          <w:rFonts w:ascii="Arial" w:hAnsi="Arial" w:cs="Arial"/>
          <w:color w:val="1D1B11" w:themeColor="background2" w:themeShade="1A"/>
          <w:sz w:val="20"/>
          <w:szCs w:val="20"/>
        </w:rPr>
      </w:pPr>
    </w:p>
    <w:p w:rsidR="00253E74" w:rsidRPr="00C40EA4" w:rsidRDefault="00013B0C" w:rsidP="00013B0C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C40EA4">
        <w:rPr>
          <w:rFonts w:ascii="Arial" w:hAnsi="Arial" w:cs="Arial"/>
          <w:color w:val="1D1B11" w:themeColor="background2" w:themeShade="1A"/>
          <w:sz w:val="20"/>
          <w:szCs w:val="20"/>
        </w:rPr>
        <w:t xml:space="preserve"> </w:t>
      </w:r>
    </w:p>
    <w:p w:rsidR="00562087" w:rsidRPr="00C40EA4" w:rsidRDefault="00B72511" w:rsidP="00562087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C40EA4">
        <w:rPr>
          <w:rFonts w:ascii="Arial" w:hAnsi="Arial" w:cs="Arial"/>
          <w:b/>
          <w:sz w:val="20"/>
          <w:szCs w:val="20"/>
        </w:rPr>
        <w:t>APROBACIÓN DE LOS CRITERIOS QUE DEPENDEN DE UN JUICIO DE VALOR</w:t>
      </w:r>
      <w:r w:rsidR="00562087" w:rsidRPr="00C40EA4">
        <w:rPr>
          <w:rFonts w:ascii="Arial" w:hAnsi="Arial" w:cs="Arial"/>
          <w:b/>
          <w:sz w:val="20"/>
          <w:szCs w:val="20"/>
        </w:rPr>
        <w:t>:</w:t>
      </w:r>
    </w:p>
    <w:p w:rsidR="00E02B09" w:rsidRPr="00C40EA4" w:rsidRDefault="00E02B09" w:rsidP="007100C7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:rsidR="00562087" w:rsidRPr="00C40EA4" w:rsidRDefault="00B72511" w:rsidP="00B72511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C40EA4">
        <w:rPr>
          <w:rFonts w:ascii="Arial" w:hAnsi="Arial" w:cs="Arial"/>
          <w:sz w:val="20"/>
          <w:szCs w:val="20"/>
        </w:rPr>
        <w:t>A</w:t>
      </w:r>
      <w:r w:rsidR="00CD3945">
        <w:rPr>
          <w:rFonts w:ascii="Arial" w:hAnsi="Arial" w:cs="Arial"/>
          <w:sz w:val="20"/>
          <w:szCs w:val="20"/>
        </w:rPr>
        <w:t xml:space="preserve">nalizado el informe de la </w:t>
      </w:r>
      <w:r w:rsidRPr="00C40EA4">
        <w:rPr>
          <w:rFonts w:ascii="Arial" w:hAnsi="Arial" w:cs="Arial"/>
          <w:sz w:val="20"/>
          <w:szCs w:val="20"/>
        </w:rPr>
        <w:t xml:space="preserve">Gerencia de Zona de Badajoz </w:t>
      </w:r>
      <w:r w:rsidR="009E431C" w:rsidRPr="00C40EA4">
        <w:rPr>
          <w:rFonts w:ascii="Arial" w:hAnsi="Arial" w:cs="Arial"/>
          <w:sz w:val="20"/>
          <w:szCs w:val="20"/>
        </w:rPr>
        <w:t xml:space="preserve">en el que se </w:t>
      </w:r>
      <w:r w:rsidR="00C40EA4" w:rsidRPr="00C40EA4">
        <w:rPr>
          <w:rFonts w:ascii="Arial" w:hAnsi="Arial" w:cs="Arial"/>
          <w:sz w:val="20"/>
          <w:szCs w:val="20"/>
        </w:rPr>
        <w:t>puntúan</w:t>
      </w:r>
      <w:r w:rsidRPr="00C40EA4">
        <w:rPr>
          <w:rFonts w:ascii="Arial" w:hAnsi="Arial" w:cs="Arial"/>
          <w:sz w:val="20"/>
          <w:szCs w:val="20"/>
        </w:rPr>
        <w:t xml:space="preserve"> los criterios que dependen de juicio de valor</w:t>
      </w:r>
      <w:r w:rsidR="009E431C" w:rsidRPr="00C40EA4">
        <w:rPr>
          <w:rFonts w:ascii="Arial" w:hAnsi="Arial" w:cs="Arial"/>
          <w:sz w:val="20"/>
          <w:szCs w:val="20"/>
        </w:rPr>
        <w:t>,</w:t>
      </w:r>
      <w:r w:rsidR="007100C7" w:rsidRPr="00C40EA4">
        <w:rPr>
          <w:rFonts w:ascii="Arial" w:hAnsi="Arial" w:cs="Arial"/>
          <w:sz w:val="20"/>
          <w:szCs w:val="20"/>
        </w:rPr>
        <w:t xml:space="preserve"> se concluye </w:t>
      </w:r>
      <w:r w:rsidRPr="00C40EA4">
        <w:rPr>
          <w:rFonts w:ascii="Arial" w:hAnsi="Arial" w:cs="Arial"/>
          <w:sz w:val="20"/>
          <w:szCs w:val="20"/>
        </w:rPr>
        <w:t xml:space="preserve">aprobar </w:t>
      </w:r>
      <w:r w:rsidR="009E431C" w:rsidRPr="00C40EA4">
        <w:rPr>
          <w:rFonts w:ascii="Arial" w:hAnsi="Arial" w:cs="Arial"/>
          <w:sz w:val="20"/>
          <w:szCs w:val="20"/>
        </w:rPr>
        <w:t>l</w:t>
      </w:r>
      <w:r w:rsidRPr="00C40EA4">
        <w:rPr>
          <w:rFonts w:ascii="Arial" w:hAnsi="Arial" w:cs="Arial"/>
          <w:sz w:val="20"/>
          <w:szCs w:val="20"/>
        </w:rPr>
        <w:t>a puntuación asignada por esta Unidad, siendo la siguiente:</w:t>
      </w:r>
    </w:p>
    <w:p w:rsidR="00D93A30" w:rsidRPr="00C40EA4" w:rsidRDefault="00D93A30" w:rsidP="00562087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1418"/>
        <w:gridCol w:w="1134"/>
      </w:tblGrid>
      <w:tr w:rsidR="00B72511" w:rsidRPr="00C40EA4" w:rsidTr="001B0BD6">
        <w:trPr>
          <w:trHeight w:val="617"/>
          <w:jc w:val="center"/>
        </w:trPr>
        <w:tc>
          <w:tcPr>
            <w:tcW w:w="3936" w:type="dxa"/>
            <w:shd w:val="clear" w:color="auto" w:fill="auto"/>
            <w:vAlign w:val="center"/>
            <w:hideMark/>
          </w:tcPr>
          <w:p w:rsidR="00B72511" w:rsidRPr="00C40EA4" w:rsidRDefault="00B72511" w:rsidP="001B0BD6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spacing w:val="-3"/>
                <w:sz w:val="20"/>
                <w:szCs w:val="20"/>
              </w:rPr>
            </w:pPr>
            <w:r w:rsidRPr="00C40EA4">
              <w:rPr>
                <w:rFonts w:ascii="Arial" w:hAnsi="Arial" w:cs="Arial"/>
                <w:b/>
                <w:bCs/>
                <w:color w:val="1D1B11" w:themeColor="background2" w:themeShade="1A"/>
                <w:spacing w:val="-3"/>
                <w:sz w:val="20"/>
                <w:szCs w:val="20"/>
              </w:rPr>
              <w:t>EMPRESAS</w:t>
            </w:r>
          </w:p>
        </w:tc>
        <w:tc>
          <w:tcPr>
            <w:tcW w:w="1417" w:type="dxa"/>
            <w:vAlign w:val="center"/>
          </w:tcPr>
          <w:p w:rsidR="00B72511" w:rsidRPr="00C40EA4" w:rsidRDefault="00B72511" w:rsidP="001B0BD6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val="es-ES_tradnl"/>
              </w:rPr>
            </w:pPr>
            <w:r w:rsidRPr="00C40EA4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val="es-ES_tradnl"/>
              </w:rPr>
              <w:t>Disposición de modelo de utilidad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511" w:rsidRPr="00C40EA4" w:rsidRDefault="00B72511" w:rsidP="001B0BD6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val="es-ES_tradnl"/>
              </w:rPr>
            </w:pPr>
            <w:r w:rsidRPr="00C40EA4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val="es-ES_tradnl"/>
              </w:rPr>
              <w:t>Certificado de Pyme Innovadora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2511" w:rsidRPr="00C40EA4" w:rsidRDefault="00B72511" w:rsidP="001B0BD6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spacing w:val="-3"/>
                <w:sz w:val="20"/>
                <w:szCs w:val="20"/>
              </w:rPr>
            </w:pPr>
            <w:r w:rsidRPr="00C40EA4">
              <w:rPr>
                <w:rFonts w:ascii="Arial" w:hAnsi="Arial" w:cs="Arial"/>
                <w:b/>
                <w:bCs/>
                <w:color w:val="1D1B11" w:themeColor="background2" w:themeShade="1A"/>
                <w:spacing w:val="-3"/>
                <w:sz w:val="20"/>
                <w:szCs w:val="20"/>
              </w:rPr>
              <w:t>TOTAL PUNTOS</w:t>
            </w:r>
          </w:p>
        </w:tc>
      </w:tr>
      <w:tr w:rsidR="00B72511" w:rsidRPr="00C40EA4" w:rsidTr="001B0BD6">
        <w:trPr>
          <w:trHeight w:val="258"/>
          <w:jc w:val="center"/>
        </w:trPr>
        <w:tc>
          <w:tcPr>
            <w:tcW w:w="3936" w:type="dxa"/>
            <w:shd w:val="clear" w:color="auto" w:fill="auto"/>
            <w:vAlign w:val="center"/>
            <w:hideMark/>
          </w:tcPr>
          <w:p w:rsidR="00B72511" w:rsidRPr="00C40EA4" w:rsidRDefault="00B72511" w:rsidP="001B0BD6">
            <w:pPr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C40EA4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INDUSTRIAS METALÚRGICAS ESGUEVA S.A.</w:t>
            </w:r>
          </w:p>
        </w:tc>
        <w:tc>
          <w:tcPr>
            <w:tcW w:w="1417" w:type="dxa"/>
            <w:vAlign w:val="center"/>
          </w:tcPr>
          <w:p w:rsidR="00B72511" w:rsidRPr="00C40EA4" w:rsidRDefault="00B72511" w:rsidP="001B0BD6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C40EA4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15,00 p.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2511" w:rsidRPr="00C40EA4" w:rsidRDefault="00B72511" w:rsidP="001B0BD6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C40EA4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5,00 p.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2511" w:rsidRPr="00C40EA4" w:rsidRDefault="00B72511" w:rsidP="001B0BD6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C40EA4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20 p.</w:t>
            </w:r>
          </w:p>
        </w:tc>
      </w:tr>
    </w:tbl>
    <w:p w:rsidR="00562087" w:rsidRPr="00C40EA4" w:rsidRDefault="00562087" w:rsidP="00562087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62087" w:rsidRDefault="00877447" w:rsidP="00877447">
      <w:pPr>
        <w:spacing w:after="0"/>
        <w:ind w:firstLine="708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Por lo qu</w:t>
      </w:r>
      <w:bookmarkStart w:id="2" w:name="_GoBack"/>
      <w:bookmarkEnd w:id="2"/>
      <w:r>
        <w:rPr>
          <w:rFonts w:ascii="Arial" w:eastAsiaTheme="minorHAnsi" w:hAnsi="Arial" w:cs="Arial"/>
          <w:sz w:val="20"/>
          <w:szCs w:val="20"/>
        </w:rPr>
        <w:t>e procederá a convocar a las empresas licitantes para la apertura del sobre “B”.</w:t>
      </w:r>
    </w:p>
    <w:p w:rsidR="00877447" w:rsidRPr="00C40EA4" w:rsidRDefault="00877447" w:rsidP="00562087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62087" w:rsidRPr="00C40EA4" w:rsidRDefault="00DB3CE1" w:rsidP="00DB3CE1">
      <w:pPr>
        <w:spacing w:after="0"/>
        <w:jc w:val="right"/>
        <w:rPr>
          <w:rFonts w:ascii="Arial" w:eastAsiaTheme="minorHAnsi" w:hAnsi="Arial" w:cs="Arial"/>
          <w:sz w:val="20"/>
          <w:szCs w:val="20"/>
        </w:rPr>
      </w:pPr>
      <w:r w:rsidRPr="00C40EA4">
        <w:rPr>
          <w:rFonts w:ascii="Arial" w:eastAsiaTheme="minorHAnsi" w:hAnsi="Arial" w:cs="Arial"/>
          <w:sz w:val="20"/>
          <w:szCs w:val="20"/>
        </w:rPr>
        <w:t>E</w:t>
      </w:r>
      <w:r w:rsidR="00562087" w:rsidRPr="00C40EA4">
        <w:rPr>
          <w:rFonts w:ascii="Arial" w:eastAsiaTheme="minorHAnsi" w:hAnsi="Arial" w:cs="Arial"/>
          <w:sz w:val="20"/>
          <w:szCs w:val="20"/>
        </w:rPr>
        <w:t xml:space="preserve">n Sevilla, a </w:t>
      </w:r>
      <w:r w:rsidR="00B72511" w:rsidRPr="00C40EA4">
        <w:rPr>
          <w:rFonts w:ascii="Arial" w:eastAsiaTheme="minorHAnsi" w:hAnsi="Arial" w:cs="Arial"/>
          <w:sz w:val="20"/>
          <w:szCs w:val="20"/>
        </w:rPr>
        <w:t>12</w:t>
      </w:r>
      <w:r w:rsidR="00562087" w:rsidRPr="00C40EA4">
        <w:rPr>
          <w:rFonts w:ascii="Arial" w:eastAsiaTheme="minorHAnsi" w:hAnsi="Arial" w:cs="Arial"/>
          <w:sz w:val="20"/>
          <w:szCs w:val="20"/>
        </w:rPr>
        <w:t xml:space="preserve"> de </w:t>
      </w:r>
      <w:r w:rsidRPr="00C40EA4">
        <w:rPr>
          <w:rFonts w:ascii="Arial" w:eastAsiaTheme="minorHAnsi" w:hAnsi="Arial" w:cs="Arial"/>
          <w:sz w:val="20"/>
          <w:szCs w:val="20"/>
        </w:rPr>
        <w:t>junio</w:t>
      </w:r>
      <w:r w:rsidR="00562087" w:rsidRPr="00C40EA4">
        <w:rPr>
          <w:rFonts w:ascii="Arial" w:eastAsiaTheme="minorHAnsi" w:hAnsi="Arial" w:cs="Arial"/>
          <w:sz w:val="20"/>
          <w:szCs w:val="20"/>
        </w:rPr>
        <w:t xml:space="preserve"> de 2018</w:t>
      </w:r>
      <w:r w:rsidR="004B71EE" w:rsidRPr="00C40EA4">
        <w:rPr>
          <w:rFonts w:ascii="Arial" w:eastAsiaTheme="minorHAnsi" w:hAnsi="Arial" w:cs="Arial"/>
          <w:sz w:val="20"/>
          <w:szCs w:val="20"/>
        </w:rPr>
        <w:t>.</w:t>
      </w:r>
    </w:p>
    <w:p w:rsidR="00562087" w:rsidRPr="00C40EA4" w:rsidRDefault="00562087" w:rsidP="00562087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62087" w:rsidRPr="00C40EA4" w:rsidRDefault="00562087" w:rsidP="00562087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62087" w:rsidRPr="0093189C" w:rsidRDefault="00562087" w:rsidP="00562087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62087" w:rsidRPr="007100C7" w:rsidRDefault="00562087" w:rsidP="00562087">
      <w:pPr>
        <w:rPr>
          <w:rFonts w:ascii="Arial" w:eastAsiaTheme="minorHAnsi" w:hAnsi="Arial" w:cs="Arial"/>
          <w:b/>
          <w:sz w:val="20"/>
          <w:szCs w:val="20"/>
        </w:rPr>
      </w:pPr>
      <w:r w:rsidRPr="007100C7">
        <w:rPr>
          <w:rFonts w:ascii="Arial" w:eastAsiaTheme="minorHAnsi" w:hAnsi="Arial" w:cs="Arial"/>
          <w:b/>
          <w:sz w:val="20"/>
          <w:szCs w:val="20"/>
        </w:rPr>
        <w:t>M</w:t>
      </w:r>
      <w:r w:rsidR="007100C7" w:rsidRPr="007100C7">
        <w:rPr>
          <w:rFonts w:ascii="Arial" w:eastAsiaTheme="minorHAnsi" w:hAnsi="Arial" w:cs="Arial"/>
          <w:b/>
          <w:sz w:val="20"/>
          <w:szCs w:val="20"/>
        </w:rPr>
        <w:t xml:space="preserve">esa de Contratación </w:t>
      </w:r>
      <w:r w:rsidRPr="007100C7">
        <w:rPr>
          <w:rFonts w:ascii="Arial" w:eastAsiaTheme="minorHAnsi" w:hAnsi="Arial" w:cs="Arial"/>
          <w:b/>
          <w:sz w:val="20"/>
          <w:szCs w:val="20"/>
        </w:rPr>
        <w:t>UT5:</w:t>
      </w:r>
    </w:p>
    <w:tbl>
      <w:tblPr>
        <w:tblStyle w:val="Tablaconcuadrcul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119"/>
      </w:tblGrid>
      <w:tr w:rsidR="00562087" w:rsidTr="00D460B2">
        <w:trPr>
          <w:trHeight w:val="237"/>
        </w:trPr>
        <w:tc>
          <w:tcPr>
            <w:tcW w:w="3510" w:type="dxa"/>
          </w:tcPr>
          <w:p w:rsidR="00562087" w:rsidRDefault="00562087" w:rsidP="007100C7">
            <w:pPr>
              <w:rPr>
                <w:rFonts w:ascii="Arial" w:hAnsi="Arial" w:cs="Arial"/>
                <w:sz w:val="20"/>
                <w:szCs w:val="20"/>
              </w:rPr>
            </w:pPr>
            <w:r w:rsidRPr="0093189C">
              <w:rPr>
                <w:rFonts w:ascii="Arial" w:hAnsi="Arial" w:cs="Arial"/>
                <w:sz w:val="20"/>
                <w:szCs w:val="20"/>
              </w:rPr>
              <w:t>P</w:t>
            </w:r>
            <w:r w:rsidR="007100C7">
              <w:rPr>
                <w:rFonts w:ascii="Arial" w:hAnsi="Arial" w:cs="Arial"/>
                <w:sz w:val="20"/>
                <w:szCs w:val="20"/>
              </w:rPr>
              <w:t>residente</w:t>
            </w:r>
          </w:p>
        </w:tc>
        <w:tc>
          <w:tcPr>
            <w:tcW w:w="3119" w:type="dxa"/>
          </w:tcPr>
          <w:p w:rsidR="00562087" w:rsidRDefault="00562087" w:rsidP="007100C7">
            <w:pPr>
              <w:rPr>
                <w:rFonts w:ascii="Arial" w:hAnsi="Arial" w:cs="Arial"/>
                <w:sz w:val="20"/>
                <w:szCs w:val="20"/>
              </w:rPr>
            </w:pPr>
            <w:r w:rsidRPr="0093189C">
              <w:rPr>
                <w:rFonts w:ascii="Arial" w:hAnsi="Arial" w:cs="Arial"/>
                <w:sz w:val="20"/>
                <w:szCs w:val="20"/>
              </w:rPr>
              <w:t>S</w:t>
            </w:r>
            <w:r w:rsidR="007100C7">
              <w:rPr>
                <w:rFonts w:ascii="Arial" w:hAnsi="Arial" w:cs="Arial"/>
                <w:sz w:val="20"/>
                <w:szCs w:val="20"/>
              </w:rPr>
              <w:t>ecretaria</w:t>
            </w:r>
          </w:p>
        </w:tc>
        <w:tc>
          <w:tcPr>
            <w:tcW w:w="3119" w:type="dxa"/>
          </w:tcPr>
          <w:p w:rsidR="00562087" w:rsidRDefault="007100C7" w:rsidP="00D460B2">
            <w:pPr>
              <w:ind w:left="-249" w:firstLine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</w:tr>
      <w:tr w:rsidR="00562087" w:rsidTr="00D460B2">
        <w:trPr>
          <w:trHeight w:val="1038"/>
        </w:trPr>
        <w:tc>
          <w:tcPr>
            <w:tcW w:w="3510" w:type="dxa"/>
          </w:tcPr>
          <w:p w:rsidR="00562087" w:rsidRDefault="00562087" w:rsidP="00D46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2087" w:rsidRDefault="00562087" w:rsidP="00D46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2087" w:rsidRDefault="00562087" w:rsidP="00D460B2">
            <w:pPr>
              <w:ind w:left="-249" w:firstLine="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87" w:rsidTr="00D460B2">
        <w:trPr>
          <w:trHeight w:val="312"/>
        </w:trPr>
        <w:tc>
          <w:tcPr>
            <w:tcW w:w="3510" w:type="dxa"/>
          </w:tcPr>
          <w:p w:rsidR="00562087" w:rsidRPr="00C3572A" w:rsidRDefault="00562087" w:rsidP="00D460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72A">
              <w:rPr>
                <w:rFonts w:ascii="Arial" w:hAnsi="Arial" w:cs="Arial"/>
                <w:sz w:val="18"/>
                <w:szCs w:val="18"/>
              </w:rPr>
              <w:t>Salvador Jiménez Moreno</w:t>
            </w:r>
          </w:p>
        </w:tc>
        <w:tc>
          <w:tcPr>
            <w:tcW w:w="3119" w:type="dxa"/>
          </w:tcPr>
          <w:p w:rsidR="00562087" w:rsidRPr="00C3572A" w:rsidRDefault="00562087" w:rsidP="00D460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72A">
              <w:rPr>
                <w:rFonts w:ascii="Arial" w:hAnsi="Arial" w:cs="Arial"/>
                <w:sz w:val="18"/>
                <w:szCs w:val="18"/>
              </w:rPr>
              <w:t>Inmaculada Márquez Rodríguez</w:t>
            </w:r>
          </w:p>
        </w:tc>
        <w:tc>
          <w:tcPr>
            <w:tcW w:w="3119" w:type="dxa"/>
          </w:tcPr>
          <w:p w:rsidR="00562087" w:rsidRPr="00C3572A" w:rsidRDefault="00562087" w:rsidP="00D460B2">
            <w:pPr>
              <w:ind w:left="-249" w:firstLine="2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72A">
              <w:rPr>
                <w:rFonts w:ascii="Arial" w:hAnsi="Arial" w:cs="Arial"/>
                <w:sz w:val="18"/>
                <w:szCs w:val="18"/>
              </w:rPr>
              <w:t>Tomás J. Carrasco Martín</w:t>
            </w:r>
          </w:p>
        </w:tc>
      </w:tr>
      <w:tr w:rsidR="00562087" w:rsidTr="00D460B2">
        <w:trPr>
          <w:trHeight w:val="303"/>
        </w:trPr>
        <w:tc>
          <w:tcPr>
            <w:tcW w:w="3510" w:type="dxa"/>
          </w:tcPr>
          <w:p w:rsidR="00562087" w:rsidRPr="00C3572A" w:rsidRDefault="00562087" w:rsidP="00D460B2">
            <w:pPr>
              <w:ind w:right="-2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72A">
              <w:rPr>
                <w:rFonts w:ascii="Arial" w:hAnsi="Arial" w:cs="Arial"/>
                <w:sz w:val="18"/>
                <w:szCs w:val="18"/>
              </w:rPr>
              <w:t xml:space="preserve">Gerente de Administración y Control UT5  </w:t>
            </w:r>
          </w:p>
        </w:tc>
        <w:tc>
          <w:tcPr>
            <w:tcW w:w="3119" w:type="dxa"/>
          </w:tcPr>
          <w:p w:rsidR="00562087" w:rsidRPr="00C3572A" w:rsidRDefault="00562087" w:rsidP="00D460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72A">
              <w:rPr>
                <w:rFonts w:ascii="Arial" w:hAnsi="Arial" w:cs="Arial"/>
                <w:sz w:val="18"/>
                <w:szCs w:val="18"/>
              </w:rPr>
              <w:t>Coordinadora de Contratación UT5</w:t>
            </w:r>
          </w:p>
        </w:tc>
        <w:tc>
          <w:tcPr>
            <w:tcW w:w="3119" w:type="dxa"/>
          </w:tcPr>
          <w:p w:rsidR="00562087" w:rsidRPr="00C3572A" w:rsidRDefault="00562087" w:rsidP="00D460B2">
            <w:pPr>
              <w:ind w:left="-249" w:firstLine="24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Obra Operaciones UT5</w:t>
            </w:r>
          </w:p>
        </w:tc>
      </w:tr>
    </w:tbl>
    <w:p w:rsidR="0094506D" w:rsidRPr="00562087" w:rsidRDefault="0094506D" w:rsidP="00562087"/>
    <w:sectPr w:rsidR="0094506D" w:rsidRPr="00562087" w:rsidSect="005670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8" w:left="1701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47" w:rsidRDefault="00342E47" w:rsidP="00342E47">
      <w:pPr>
        <w:spacing w:after="0" w:line="240" w:lineRule="auto"/>
      </w:pPr>
      <w:r>
        <w:separator/>
      </w:r>
    </w:p>
  </w:endnote>
  <w:endnote w:type="continuationSeparator" w:id="0">
    <w:p w:rsidR="00342E47" w:rsidRDefault="00342E47" w:rsidP="0034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D0" w:rsidRDefault="005670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930405"/>
      <w:docPartObj>
        <w:docPartGallery w:val="Page Numbers (Bottom of Page)"/>
        <w:docPartUnique/>
      </w:docPartObj>
    </w:sdtPr>
    <w:sdtEndPr/>
    <w:sdtContent>
      <w:p w:rsidR="008E4F38" w:rsidRDefault="001366C2">
        <w:pPr>
          <w:pStyle w:val="Piedepgina"/>
          <w:jc w:val="right"/>
        </w:pPr>
        <w:proofErr w:type="spellStart"/>
        <w:proofErr w:type="gramStart"/>
        <w:r>
          <w:t>Pá</w:t>
        </w:r>
        <w:r w:rsidR="008E4F38">
          <w:t>g</w:t>
        </w:r>
        <w:proofErr w:type="spellEnd"/>
        <w:r w:rsidR="008E4F38">
          <w:t xml:space="preserve"> .</w:t>
        </w:r>
        <w:proofErr w:type="gramEnd"/>
        <w:r w:rsidR="008E4F38">
          <w:fldChar w:fldCharType="begin"/>
        </w:r>
        <w:r w:rsidR="008E4F38">
          <w:instrText>PAGE   \* MERGEFORMAT</w:instrText>
        </w:r>
        <w:r w:rsidR="008E4F38">
          <w:fldChar w:fldCharType="separate"/>
        </w:r>
        <w:r w:rsidR="00877447">
          <w:rPr>
            <w:noProof/>
          </w:rPr>
          <w:t>2</w:t>
        </w:r>
        <w:r w:rsidR="008E4F38">
          <w:fldChar w:fldCharType="end"/>
        </w:r>
        <w:r w:rsidR="008E4F38">
          <w:t xml:space="preserve"> </w:t>
        </w:r>
      </w:p>
    </w:sdtContent>
  </w:sdt>
  <w:p w:rsidR="008E4F38" w:rsidRDefault="008E4F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D0" w:rsidRDefault="005670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47" w:rsidRDefault="00342E47" w:rsidP="00342E47">
      <w:pPr>
        <w:spacing w:after="0" w:line="240" w:lineRule="auto"/>
      </w:pPr>
      <w:r>
        <w:separator/>
      </w:r>
    </w:p>
  </w:footnote>
  <w:footnote w:type="continuationSeparator" w:id="0">
    <w:p w:rsidR="00342E47" w:rsidRDefault="00342E47" w:rsidP="0034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D0" w:rsidRDefault="005670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47" w:rsidRDefault="00877447" w:rsidP="00342E4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8.6pt;margin-top:9.15pt;width:36.5pt;height:36.5pt;z-index:251658240;mso-position-horizontal-relative:text;mso-position-vertical-relative:text">
          <v:imagedata r:id="rId1" o:title=""/>
        </v:shape>
        <o:OLEObject Type="Embed" ProgID="StaticMetafile" ShapeID="_x0000_s2049" DrawAspect="Content" ObjectID="_1590324679" r:id="rId2"/>
      </w:pict>
    </w:r>
    <w:r w:rsidR="00A723A7">
      <w:rPr>
        <w:noProof/>
        <w:lang w:eastAsia="es-ES"/>
      </w:rPr>
      <w:drawing>
        <wp:inline distT="0" distB="0" distL="0" distR="0" wp14:anchorId="0638D649" wp14:editId="4D816BBC">
          <wp:extent cx="1738800" cy="63000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marca Tragsa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7736" w:rsidRDefault="009F7736" w:rsidP="00342E47">
    <w:pPr>
      <w:pStyle w:val="Encabezado"/>
    </w:pPr>
  </w:p>
  <w:p w:rsidR="00342E47" w:rsidRPr="00342E47" w:rsidRDefault="00342E47" w:rsidP="00342E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D0" w:rsidRDefault="005670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DF0"/>
    <w:multiLevelType w:val="hybridMultilevel"/>
    <w:tmpl w:val="CEAE6EA0"/>
    <w:lvl w:ilvl="0" w:tplc="CE7CE4B8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994DCD"/>
    <w:multiLevelType w:val="hybridMultilevel"/>
    <w:tmpl w:val="E21C05B2"/>
    <w:lvl w:ilvl="0" w:tplc="93A82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F41FE"/>
    <w:multiLevelType w:val="hybridMultilevel"/>
    <w:tmpl w:val="B706E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4873E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8195D"/>
    <w:multiLevelType w:val="multilevel"/>
    <w:tmpl w:val="873A66CE"/>
    <w:lvl w:ilvl="0">
      <w:start w:val="6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93C0AC1"/>
    <w:multiLevelType w:val="hybridMultilevel"/>
    <w:tmpl w:val="6A5A7E36"/>
    <w:lvl w:ilvl="0" w:tplc="54B64B5A">
      <w:start w:val="6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54518"/>
    <w:multiLevelType w:val="multilevel"/>
    <w:tmpl w:val="28BE6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2364139"/>
    <w:multiLevelType w:val="hybridMultilevel"/>
    <w:tmpl w:val="51F47AEA"/>
    <w:lvl w:ilvl="0" w:tplc="54B64B5A">
      <w:start w:val="69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74"/>
    <w:rsid w:val="00001BEA"/>
    <w:rsid w:val="00013B0C"/>
    <w:rsid w:val="00016C11"/>
    <w:rsid w:val="00045E33"/>
    <w:rsid w:val="00080E1C"/>
    <w:rsid w:val="00090928"/>
    <w:rsid w:val="000931FA"/>
    <w:rsid w:val="000B06E3"/>
    <w:rsid w:val="000B6125"/>
    <w:rsid w:val="000D15A9"/>
    <w:rsid w:val="000D6B08"/>
    <w:rsid w:val="000E4446"/>
    <w:rsid w:val="001130DC"/>
    <w:rsid w:val="00115048"/>
    <w:rsid w:val="001160E0"/>
    <w:rsid w:val="00135E0B"/>
    <w:rsid w:val="001366C2"/>
    <w:rsid w:val="00150D4C"/>
    <w:rsid w:val="00164F0B"/>
    <w:rsid w:val="001912FB"/>
    <w:rsid w:val="001E5FA2"/>
    <w:rsid w:val="001F2F4F"/>
    <w:rsid w:val="00201D3F"/>
    <w:rsid w:val="002049A1"/>
    <w:rsid w:val="00206A52"/>
    <w:rsid w:val="00224442"/>
    <w:rsid w:val="00226ECF"/>
    <w:rsid w:val="00247349"/>
    <w:rsid w:val="00253E74"/>
    <w:rsid w:val="00281F3B"/>
    <w:rsid w:val="00284E21"/>
    <w:rsid w:val="002974A5"/>
    <w:rsid w:val="002A5CB7"/>
    <w:rsid w:val="002B3625"/>
    <w:rsid w:val="002D240B"/>
    <w:rsid w:val="002E4139"/>
    <w:rsid w:val="002E5C01"/>
    <w:rsid w:val="002F0427"/>
    <w:rsid w:val="002F26E0"/>
    <w:rsid w:val="002F3856"/>
    <w:rsid w:val="002F7022"/>
    <w:rsid w:val="00301E06"/>
    <w:rsid w:val="0030303C"/>
    <w:rsid w:val="0031468C"/>
    <w:rsid w:val="00322031"/>
    <w:rsid w:val="00342E47"/>
    <w:rsid w:val="003502F7"/>
    <w:rsid w:val="00377CE4"/>
    <w:rsid w:val="00387FAB"/>
    <w:rsid w:val="003D285E"/>
    <w:rsid w:val="003E6738"/>
    <w:rsid w:val="003F131E"/>
    <w:rsid w:val="003F37EB"/>
    <w:rsid w:val="00400C0A"/>
    <w:rsid w:val="00442408"/>
    <w:rsid w:val="0045173B"/>
    <w:rsid w:val="00457A10"/>
    <w:rsid w:val="00457D4E"/>
    <w:rsid w:val="004A11F1"/>
    <w:rsid w:val="004B71EE"/>
    <w:rsid w:val="004D23C0"/>
    <w:rsid w:val="004D51F4"/>
    <w:rsid w:val="004E55BB"/>
    <w:rsid w:val="004F3721"/>
    <w:rsid w:val="00502708"/>
    <w:rsid w:val="00504708"/>
    <w:rsid w:val="00506EB4"/>
    <w:rsid w:val="005223B1"/>
    <w:rsid w:val="00532BFD"/>
    <w:rsid w:val="00562087"/>
    <w:rsid w:val="005670D0"/>
    <w:rsid w:val="00572B6B"/>
    <w:rsid w:val="00575578"/>
    <w:rsid w:val="00575965"/>
    <w:rsid w:val="0059607D"/>
    <w:rsid w:val="005A6297"/>
    <w:rsid w:val="005F2BAD"/>
    <w:rsid w:val="00606FBA"/>
    <w:rsid w:val="00612960"/>
    <w:rsid w:val="00625833"/>
    <w:rsid w:val="006344C3"/>
    <w:rsid w:val="00651165"/>
    <w:rsid w:val="00654941"/>
    <w:rsid w:val="00657048"/>
    <w:rsid w:val="00661359"/>
    <w:rsid w:val="0067205A"/>
    <w:rsid w:val="00673205"/>
    <w:rsid w:val="00675505"/>
    <w:rsid w:val="00697380"/>
    <w:rsid w:val="006C34B6"/>
    <w:rsid w:val="006E65F1"/>
    <w:rsid w:val="006F641E"/>
    <w:rsid w:val="00700671"/>
    <w:rsid w:val="007100C7"/>
    <w:rsid w:val="00715E00"/>
    <w:rsid w:val="00722E73"/>
    <w:rsid w:val="00745003"/>
    <w:rsid w:val="00745283"/>
    <w:rsid w:val="007613C9"/>
    <w:rsid w:val="00761AFA"/>
    <w:rsid w:val="007742DB"/>
    <w:rsid w:val="00787A4B"/>
    <w:rsid w:val="007976D7"/>
    <w:rsid w:val="007D36F9"/>
    <w:rsid w:val="0080101F"/>
    <w:rsid w:val="0081141D"/>
    <w:rsid w:val="008302A7"/>
    <w:rsid w:val="00831F55"/>
    <w:rsid w:val="008414B7"/>
    <w:rsid w:val="00872A88"/>
    <w:rsid w:val="00875C3D"/>
    <w:rsid w:val="00877447"/>
    <w:rsid w:val="008A2AD5"/>
    <w:rsid w:val="008C5CB1"/>
    <w:rsid w:val="008D3C98"/>
    <w:rsid w:val="008E4F38"/>
    <w:rsid w:val="00901FF3"/>
    <w:rsid w:val="00917A9B"/>
    <w:rsid w:val="009235C5"/>
    <w:rsid w:val="00931FFE"/>
    <w:rsid w:val="0094506D"/>
    <w:rsid w:val="009677C3"/>
    <w:rsid w:val="0097161B"/>
    <w:rsid w:val="00983DE7"/>
    <w:rsid w:val="00992944"/>
    <w:rsid w:val="00993D06"/>
    <w:rsid w:val="00996EDA"/>
    <w:rsid w:val="009A00B9"/>
    <w:rsid w:val="009B1B0E"/>
    <w:rsid w:val="009E431C"/>
    <w:rsid w:val="009F7736"/>
    <w:rsid w:val="00A039F3"/>
    <w:rsid w:val="00A0486D"/>
    <w:rsid w:val="00A22DEA"/>
    <w:rsid w:val="00A54BBB"/>
    <w:rsid w:val="00A723A7"/>
    <w:rsid w:val="00A817D2"/>
    <w:rsid w:val="00A83370"/>
    <w:rsid w:val="00AA2FD6"/>
    <w:rsid w:val="00AC462D"/>
    <w:rsid w:val="00AD0A7C"/>
    <w:rsid w:val="00AE35AE"/>
    <w:rsid w:val="00B00BED"/>
    <w:rsid w:val="00B06856"/>
    <w:rsid w:val="00B15DAC"/>
    <w:rsid w:val="00B71472"/>
    <w:rsid w:val="00B72511"/>
    <w:rsid w:val="00B839AF"/>
    <w:rsid w:val="00BA7AE8"/>
    <w:rsid w:val="00BC2E74"/>
    <w:rsid w:val="00BC7783"/>
    <w:rsid w:val="00BD03D8"/>
    <w:rsid w:val="00BD4410"/>
    <w:rsid w:val="00BD7536"/>
    <w:rsid w:val="00C01DDD"/>
    <w:rsid w:val="00C30CD6"/>
    <w:rsid w:val="00C40E0B"/>
    <w:rsid w:val="00C40EA4"/>
    <w:rsid w:val="00C43016"/>
    <w:rsid w:val="00C53F54"/>
    <w:rsid w:val="00C67620"/>
    <w:rsid w:val="00CB68A2"/>
    <w:rsid w:val="00CD3945"/>
    <w:rsid w:val="00CE281E"/>
    <w:rsid w:val="00D40A6A"/>
    <w:rsid w:val="00D45E4C"/>
    <w:rsid w:val="00D550AE"/>
    <w:rsid w:val="00D57ED3"/>
    <w:rsid w:val="00D72C3A"/>
    <w:rsid w:val="00D92443"/>
    <w:rsid w:val="00D93A30"/>
    <w:rsid w:val="00DB3CE1"/>
    <w:rsid w:val="00DD7D18"/>
    <w:rsid w:val="00DE7BF0"/>
    <w:rsid w:val="00DF2266"/>
    <w:rsid w:val="00DF78F8"/>
    <w:rsid w:val="00E02B09"/>
    <w:rsid w:val="00E27385"/>
    <w:rsid w:val="00E36D2A"/>
    <w:rsid w:val="00E66816"/>
    <w:rsid w:val="00E674AE"/>
    <w:rsid w:val="00E7748F"/>
    <w:rsid w:val="00EA7863"/>
    <w:rsid w:val="00EC38CB"/>
    <w:rsid w:val="00EE4AF1"/>
    <w:rsid w:val="00F01853"/>
    <w:rsid w:val="00F0731C"/>
    <w:rsid w:val="00F17060"/>
    <w:rsid w:val="00F41BCD"/>
    <w:rsid w:val="00F439FD"/>
    <w:rsid w:val="00F4437C"/>
    <w:rsid w:val="00F46262"/>
    <w:rsid w:val="00F643B4"/>
    <w:rsid w:val="00F8583A"/>
    <w:rsid w:val="00F9546A"/>
    <w:rsid w:val="00FE5D38"/>
    <w:rsid w:val="00FE78AB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4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2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47"/>
  </w:style>
  <w:style w:type="paragraph" w:styleId="Piedepgina">
    <w:name w:val="footer"/>
    <w:basedOn w:val="Normal"/>
    <w:link w:val="PiedepginaCar"/>
    <w:uiPriority w:val="99"/>
    <w:unhideWhenUsed/>
    <w:rsid w:val="00342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47"/>
  </w:style>
  <w:style w:type="paragraph" w:styleId="Textodeglobo">
    <w:name w:val="Balloon Text"/>
    <w:basedOn w:val="Normal"/>
    <w:link w:val="TextodegloboCar"/>
    <w:uiPriority w:val="99"/>
    <w:semiHidden/>
    <w:unhideWhenUsed/>
    <w:rsid w:val="0034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4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1F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1F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1F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F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1FFE"/>
    <w:rPr>
      <w:b/>
      <w:bCs/>
      <w:sz w:val="20"/>
      <w:szCs w:val="20"/>
    </w:rPr>
  </w:style>
  <w:style w:type="paragraph" w:customStyle="1" w:styleId="TRAGSANORMAL">
    <w:name w:val="TRAGSA NORMAL"/>
    <w:basedOn w:val="Normal"/>
    <w:qFormat/>
    <w:rsid w:val="00562087"/>
    <w:pPr>
      <w:spacing w:after="240" w:line="240" w:lineRule="auto"/>
    </w:pPr>
    <w:rPr>
      <w:rFonts w:ascii="Cambria" w:hAnsi="Cambria"/>
      <w:sz w:val="24"/>
      <w:szCs w:val="24"/>
    </w:rPr>
  </w:style>
  <w:style w:type="character" w:customStyle="1" w:styleId="pseditboxdisponly">
    <w:name w:val="pseditbox_disponly"/>
    <w:basedOn w:val="Fuentedeprrafopredeter"/>
    <w:rsid w:val="004F3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4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2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47"/>
  </w:style>
  <w:style w:type="paragraph" w:styleId="Piedepgina">
    <w:name w:val="footer"/>
    <w:basedOn w:val="Normal"/>
    <w:link w:val="PiedepginaCar"/>
    <w:uiPriority w:val="99"/>
    <w:unhideWhenUsed/>
    <w:rsid w:val="00342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47"/>
  </w:style>
  <w:style w:type="paragraph" w:styleId="Textodeglobo">
    <w:name w:val="Balloon Text"/>
    <w:basedOn w:val="Normal"/>
    <w:link w:val="TextodegloboCar"/>
    <w:uiPriority w:val="99"/>
    <w:semiHidden/>
    <w:unhideWhenUsed/>
    <w:rsid w:val="0034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4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1F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1F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1F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F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1FFE"/>
    <w:rPr>
      <w:b/>
      <w:bCs/>
      <w:sz w:val="20"/>
      <w:szCs w:val="20"/>
    </w:rPr>
  </w:style>
  <w:style w:type="paragraph" w:customStyle="1" w:styleId="TRAGSANORMAL">
    <w:name w:val="TRAGSA NORMAL"/>
    <w:basedOn w:val="Normal"/>
    <w:qFormat/>
    <w:rsid w:val="00562087"/>
    <w:pPr>
      <w:spacing w:after="240" w:line="240" w:lineRule="auto"/>
    </w:pPr>
    <w:rPr>
      <w:rFonts w:ascii="Cambria" w:hAnsi="Cambria"/>
      <w:sz w:val="24"/>
      <w:szCs w:val="24"/>
    </w:rPr>
  </w:style>
  <w:style w:type="character" w:customStyle="1" w:styleId="pseditboxdisponly">
    <w:name w:val="pseditbox_disponly"/>
    <w:basedOn w:val="Fuentedeprrafopredeter"/>
    <w:rsid w:val="004F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3FE0-DAE4-4AF6-86DC-9839E4F3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Maya Ramos</dc:creator>
  <cp:lastModifiedBy>TRAGSA</cp:lastModifiedBy>
  <cp:revision>22</cp:revision>
  <cp:lastPrinted>2018-06-11T16:53:00Z</cp:lastPrinted>
  <dcterms:created xsi:type="dcterms:W3CDTF">2018-06-07T14:08:00Z</dcterms:created>
  <dcterms:modified xsi:type="dcterms:W3CDTF">2018-06-12T14:05:00Z</dcterms:modified>
</cp:coreProperties>
</file>